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D2049" w14:textId="77777777" w:rsidR="00AC108F" w:rsidRDefault="00AC108F" w:rsidP="00AC108F">
      <w:pPr>
        <w:jc w:val="center"/>
        <w:rPr>
          <w:rFonts w:ascii="Montserrat" w:hAnsi="Montserrat" w:cs="Arial"/>
          <w:b/>
          <w:color w:val="632423" w:themeColor="accent2" w:themeShade="80"/>
          <w:sz w:val="32"/>
          <w:szCs w:val="32"/>
          <w:lang w:val="es-ES"/>
        </w:rPr>
      </w:pPr>
    </w:p>
    <w:p w14:paraId="7A5C6AB0" w14:textId="77777777" w:rsidR="00AC108F" w:rsidRDefault="00AC108F" w:rsidP="00AC108F">
      <w:pPr>
        <w:jc w:val="center"/>
        <w:rPr>
          <w:rFonts w:ascii="Montserrat" w:hAnsi="Montserrat" w:cs="Arial"/>
          <w:b/>
          <w:color w:val="632423" w:themeColor="accent2" w:themeShade="80"/>
          <w:sz w:val="32"/>
          <w:szCs w:val="32"/>
          <w:lang w:val="es-ES"/>
        </w:rPr>
      </w:pPr>
    </w:p>
    <w:p w14:paraId="303B35D0" w14:textId="77777777" w:rsidR="00AC108F" w:rsidRDefault="00AC108F" w:rsidP="00AC108F">
      <w:pPr>
        <w:jc w:val="center"/>
        <w:rPr>
          <w:rFonts w:ascii="Montserrat" w:hAnsi="Montserrat" w:cs="Arial"/>
          <w:b/>
          <w:color w:val="632423" w:themeColor="accent2" w:themeShade="80"/>
          <w:sz w:val="32"/>
          <w:szCs w:val="32"/>
          <w:lang w:val="es-ES"/>
        </w:rPr>
      </w:pPr>
    </w:p>
    <w:p w14:paraId="55A4A279" w14:textId="4675CCB6" w:rsidR="00AC108F" w:rsidRDefault="00AC108F" w:rsidP="00AC108F">
      <w:pPr>
        <w:jc w:val="center"/>
        <w:rPr>
          <w:rFonts w:ascii="Montserrat" w:eastAsiaTheme="minorEastAsia" w:hAnsi="Montserrat" w:cs="Arial"/>
          <w:b/>
          <w:color w:val="632423" w:themeColor="accent2" w:themeShade="80"/>
          <w:sz w:val="32"/>
          <w:szCs w:val="32"/>
          <w:lang w:val="es-ES" w:eastAsia="es-ES"/>
        </w:rPr>
      </w:pPr>
      <w:r>
        <w:rPr>
          <w:rFonts w:ascii="Montserrat" w:hAnsi="Montserrat" w:cs="Arial"/>
          <w:b/>
          <w:color w:val="632423" w:themeColor="accent2" w:themeShade="80"/>
          <w:sz w:val="32"/>
          <w:szCs w:val="32"/>
          <w:lang w:val="es-ES"/>
        </w:rPr>
        <w:t>CENTRO DE INVESTIGACIÓN EN MATEMÁTICAS, A.C. (CIMAT)</w:t>
      </w:r>
    </w:p>
    <w:p w14:paraId="27F9CD68" w14:textId="77777777" w:rsidR="00AC108F" w:rsidRDefault="00AC108F" w:rsidP="00AC108F">
      <w:pPr>
        <w:jc w:val="center"/>
        <w:rPr>
          <w:rFonts w:ascii="Montserrat" w:hAnsi="Montserrat" w:cs="Arial"/>
          <w:b/>
          <w:color w:val="632423" w:themeColor="accent2" w:themeShade="80"/>
          <w:lang w:val="es-ES"/>
        </w:rPr>
      </w:pPr>
    </w:p>
    <w:p w14:paraId="3549D344" w14:textId="77777777" w:rsidR="00AC108F" w:rsidRDefault="00AC108F" w:rsidP="00AC108F">
      <w:pPr>
        <w:jc w:val="center"/>
        <w:rPr>
          <w:rFonts w:ascii="Montserrat" w:hAnsi="Montserrat" w:cs="Arial"/>
          <w:b/>
          <w:color w:val="632423" w:themeColor="accent2" w:themeShade="80"/>
          <w:lang w:val="es-ES"/>
        </w:rPr>
      </w:pPr>
    </w:p>
    <w:p w14:paraId="6C3AB24A" w14:textId="77777777" w:rsidR="00AC108F" w:rsidRDefault="00AC108F" w:rsidP="00AC108F">
      <w:pPr>
        <w:jc w:val="center"/>
        <w:rPr>
          <w:rFonts w:ascii="Montserrat" w:hAnsi="Montserrat" w:cs="Arial"/>
          <w:b/>
          <w:color w:val="632423" w:themeColor="accent2" w:themeShade="80"/>
          <w:lang w:val="es-ES"/>
        </w:rPr>
      </w:pPr>
    </w:p>
    <w:p w14:paraId="22D6B1E0" w14:textId="77777777" w:rsidR="00AC108F" w:rsidRDefault="00AC108F" w:rsidP="00AC108F">
      <w:pPr>
        <w:jc w:val="center"/>
        <w:rPr>
          <w:rFonts w:ascii="Montserrat" w:hAnsi="Montserrat" w:cs="Arial"/>
          <w:b/>
          <w:color w:val="632423" w:themeColor="accent2" w:themeShade="80"/>
          <w:lang w:val="es-ES"/>
        </w:rPr>
      </w:pPr>
    </w:p>
    <w:p w14:paraId="2172B4EB" w14:textId="77777777" w:rsidR="00AC108F" w:rsidRDefault="00AC108F" w:rsidP="00AC108F">
      <w:pPr>
        <w:jc w:val="center"/>
        <w:rPr>
          <w:rFonts w:ascii="Montserrat" w:hAnsi="Montserrat" w:cs="Arial"/>
          <w:b/>
          <w:color w:val="632423" w:themeColor="accent2" w:themeShade="80"/>
          <w:lang w:val="es-ES"/>
        </w:rPr>
      </w:pPr>
    </w:p>
    <w:p w14:paraId="48936D58" w14:textId="77777777" w:rsidR="00AC108F" w:rsidRDefault="00AC108F" w:rsidP="00AC108F">
      <w:pPr>
        <w:jc w:val="center"/>
        <w:rPr>
          <w:rFonts w:ascii="Montserrat" w:hAnsi="Montserrat" w:cs="Arial"/>
          <w:b/>
          <w:color w:val="632423" w:themeColor="accent2" w:themeShade="80"/>
          <w:lang w:val="es-ES"/>
        </w:rPr>
      </w:pPr>
    </w:p>
    <w:p w14:paraId="5AD697DE" w14:textId="77777777" w:rsidR="00AC108F" w:rsidRDefault="00AC108F" w:rsidP="00AC108F">
      <w:pPr>
        <w:jc w:val="center"/>
        <w:rPr>
          <w:rFonts w:ascii="Montserrat" w:hAnsi="Montserrat" w:cs="Arial"/>
          <w:b/>
          <w:color w:val="632423" w:themeColor="accent2" w:themeShade="80"/>
          <w:lang w:val="es-ES"/>
        </w:rPr>
      </w:pPr>
    </w:p>
    <w:p w14:paraId="758D03C0" w14:textId="6A8C4247" w:rsidR="00AC108F" w:rsidRDefault="00AC108F" w:rsidP="00AC108F">
      <w:pPr>
        <w:jc w:val="center"/>
        <w:rPr>
          <w:rFonts w:ascii="Montserrat" w:hAnsi="Montserrat" w:cs="Arial"/>
          <w:b/>
          <w:color w:val="632423" w:themeColor="accent2" w:themeShade="80"/>
          <w:sz w:val="32"/>
          <w:szCs w:val="32"/>
          <w:lang w:val="es-ES"/>
        </w:rPr>
      </w:pPr>
      <w:r>
        <w:rPr>
          <w:rFonts w:ascii="Montserrat" w:hAnsi="Montserrat" w:cs="Arial"/>
          <w:b/>
          <w:color w:val="632423" w:themeColor="accent2" w:themeShade="80"/>
          <w:sz w:val="32"/>
          <w:szCs w:val="32"/>
          <w:lang w:val="es-ES"/>
        </w:rPr>
        <w:t>DOCUMENTO DE SEGURIDAD</w:t>
      </w:r>
    </w:p>
    <w:p w14:paraId="21D79634" w14:textId="66AA1EC2" w:rsidR="00AC108F" w:rsidRDefault="00AC108F" w:rsidP="00AC108F">
      <w:pPr>
        <w:jc w:val="center"/>
        <w:rPr>
          <w:rFonts w:ascii="Montserrat" w:hAnsi="Montserrat" w:cs="Arial"/>
          <w:b/>
          <w:color w:val="632423" w:themeColor="accent2" w:themeShade="80"/>
          <w:sz w:val="32"/>
          <w:szCs w:val="32"/>
          <w:lang w:val="es-ES"/>
        </w:rPr>
      </w:pPr>
    </w:p>
    <w:p w14:paraId="276AD876" w14:textId="48FEF47E" w:rsidR="00AC108F" w:rsidRDefault="00AC108F" w:rsidP="00AC108F">
      <w:pPr>
        <w:jc w:val="center"/>
        <w:rPr>
          <w:rFonts w:ascii="Montserrat" w:hAnsi="Montserrat" w:cs="Arial"/>
          <w:b/>
          <w:color w:val="632423" w:themeColor="accent2" w:themeShade="80"/>
          <w:sz w:val="32"/>
          <w:szCs w:val="32"/>
          <w:lang w:val="es-ES"/>
        </w:rPr>
      </w:pPr>
    </w:p>
    <w:p w14:paraId="77F66681" w14:textId="3B0A86BB" w:rsidR="00AC108F" w:rsidRDefault="00AC108F" w:rsidP="00AC108F">
      <w:pPr>
        <w:jc w:val="center"/>
        <w:rPr>
          <w:rFonts w:ascii="Montserrat" w:hAnsi="Montserrat" w:cs="Arial"/>
          <w:b/>
          <w:color w:val="632423" w:themeColor="accent2" w:themeShade="80"/>
          <w:sz w:val="32"/>
          <w:szCs w:val="32"/>
          <w:lang w:val="es-ES"/>
        </w:rPr>
      </w:pPr>
      <w:r>
        <w:rPr>
          <w:rFonts w:ascii="Montserrat" w:hAnsi="Montserrat" w:cs="Arial"/>
          <w:b/>
          <w:color w:val="632423" w:themeColor="accent2" w:themeShade="80"/>
          <w:sz w:val="32"/>
          <w:szCs w:val="32"/>
          <w:lang w:val="es-ES"/>
        </w:rPr>
        <w:t>202</w:t>
      </w:r>
      <w:r w:rsidR="00105BD4">
        <w:rPr>
          <w:rFonts w:ascii="Montserrat" w:hAnsi="Montserrat" w:cs="Arial"/>
          <w:b/>
          <w:color w:val="632423" w:themeColor="accent2" w:themeShade="80"/>
          <w:sz w:val="32"/>
          <w:szCs w:val="32"/>
          <w:lang w:val="es-ES"/>
        </w:rPr>
        <w:t>4</w:t>
      </w:r>
    </w:p>
    <w:p w14:paraId="3E1D9878" w14:textId="106F0B43" w:rsidR="00AC108F" w:rsidRDefault="00AC108F" w:rsidP="00AC108F">
      <w:pPr>
        <w:jc w:val="center"/>
        <w:rPr>
          <w:rFonts w:ascii="Montserrat" w:hAnsi="Montserrat" w:cs="Arial"/>
          <w:b/>
          <w:color w:val="632423" w:themeColor="accent2" w:themeShade="80"/>
          <w:sz w:val="32"/>
          <w:szCs w:val="32"/>
          <w:lang w:val="es-ES"/>
        </w:rPr>
      </w:pPr>
    </w:p>
    <w:p w14:paraId="0F0FD0C0" w14:textId="6CC80D32" w:rsidR="00AC108F" w:rsidRDefault="00AC108F" w:rsidP="00AC108F">
      <w:pPr>
        <w:jc w:val="center"/>
        <w:rPr>
          <w:rFonts w:ascii="Montserrat" w:hAnsi="Montserrat" w:cs="Arial"/>
          <w:b/>
          <w:color w:val="632423" w:themeColor="accent2" w:themeShade="80"/>
          <w:sz w:val="32"/>
          <w:szCs w:val="32"/>
          <w:lang w:val="es-ES"/>
        </w:rPr>
      </w:pPr>
    </w:p>
    <w:p w14:paraId="51AF20E3" w14:textId="468D89B1" w:rsidR="00AC108F" w:rsidRDefault="00AC108F" w:rsidP="00AC108F">
      <w:pPr>
        <w:jc w:val="center"/>
        <w:rPr>
          <w:rFonts w:ascii="Montserrat" w:hAnsi="Montserrat" w:cs="Arial"/>
          <w:b/>
          <w:color w:val="632423" w:themeColor="accent2" w:themeShade="80"/>
          <w:sz w:val="32"/>
          <w:szCs w:val="32"/>
          <w:lang w:val="es-ES"/>
        </w:rPr>
      </w:pPr>
    </w:p>
    <w:p w14:paraId="3EE8345A" w14:textId="6D2D2D7F" w:rsidR="00AC108F" w:rsidRDefault="00AC108F" w:rsidP="00AC108F">
      <w:pPr>
        <w:jc w:val="center"/>
        <w:rPr>
          <w:rFonts w:ascii="Montserrat" w:hAnsi="Montserrat" w:cs="Arial"/>
          <w:b/>
          <w:color w:val="632423" w:themeColor="accent2" w:themeShade="80"/>
          <w:sz w:val="32"/>
          <w:szCs w:val="32"/>
          <w:lang w:val="es-ES"/>
        </w:rPr>
      </w:pPr>
    </w:p>
    <w:p w14:paraId="793741F1" w14:textId="57E9AE77" w:rsidR="00AC108F" w:rsidRDefault="00AC108F" w:rsidP="00AC108F">
      <w:pPr>
        <w:jc w:val="center"/>
        <w:rPr>
          <w:rFonts w:ascii="Montserrat" w:hAnsi="Montserrat" w:cs="Arial"/>
          <w:b/>
          <w:color w:val="632423" w:themeColor="accent2" w:themeShade="80"/>
          <w:sz w:val="32"/>
          <w:szCs w:val="32"/>
          <w:lang w:val="es-ES"/>
        </w:rPr>
      </w:pPr>
    </w:p>
    <w:p w14:paraId="3AD6E512" w14:textId="611EB536" w:rsidR="00AC108F" w:rsidRDefault="00AC108F" w:rsidP="00AC108F">
      <w:pPr>
        <w:jc w:val="center"/>
        <w:rPr>
          <w:rFonts w:ascii="Montserrat" w:hAnsi="Montserrat" w:cs="Arial"/>
          <w:b/>
          <w:color w:val="632423" w:themeColor="accent2" w:themeShade="80"/>
          <w:sz w:val="32"/>
          <w:szCs w:val="32"/>
          <w:lang w:val="es-ES"/>
        </w:rPr>
      </w:pPr>
    </w:p>
    <w:p w14:paraId="721AB201" w14:textId="052BC4F5" w:rsidR="00AC108F" w:rsidRDefault="00AC108F" w:rsidP="00AC108F">
      <w:pPr>
        <w:jc w:val="center"/>
        <w:rPr>
          <w:rFonts w:ascii="Montserrat" w:hAnsi="Montserrat" w:cs="Arial"/>
          <w:b/>
          <w:color w:val="632423" w:themeColor="accent2" w:themeShade="80"/>
          <w:sz w:val="32"/>
          <w:szCs w:val="32"/>
          <w:lang w:val="es-ES"/>
        </w:rPr>
      </w:pPr>
    </w:p>
    <w:p w14:paraId="7B2F9064" w14:textId="6AC33EAB" w:rsidR="00AC108F" w:rsidRDefault="00AC108F" w:rsidP="00AC108F">
      <w:pPr>
        <w:jc w:val="center"/>
        <w:rPr>
          <w:rFonts w:ascii="Montserrat" w:hAnsi="Montserrat" w:cs="Arial"/>
          <w:b/>
          <w:color w:val="632423" w:themeColor="accent2" w:themeShade="80"/>
          <w:sz w:val="32"/>
          <w:szCs w:val="32"/>
          <w:lang w:val="es-ES"/>
        </w:rPr>
      </w:pPr>
    </w:p>
    <w:p w14:paraId="5F480727" w14:textId="6947459F" w:rsidR="00AC108F" w:rsidRDefault="00AC108F" w:rsidP="00AC108F">
      <w:pPr>
        <w:jc w:val="center"/>
        <w:rPr>
          <w:rFonts w:ascii="Montserrat" w:hAnsi="Montserrat" w:cs="Arial"/>
          <w:b/>
          <w:color w:val="632423" w:themeColor="accent2" w:themeShade="80"/>
          <w:sz w:val="32"/>
          <w:szCs w:val="32"/>
          <w:lang w:val="es-ES"/>
        </w:rPr>
      </w:pPr>
    </w:p>
    <w:p w14:paraId="6E46D886" w14:textId="2EED7EDF" w:rsidR="00AC108F" w:rsidRDefault="00AC108F" w:rsidP="00AC108F">
      <w:pPr>
        <w:jc w:val="center"/>
        <w:rPr>
          <w:rFonts w:ascii="Montserrat" w:hAnsi="Montserrat" w:cs="Arial"/>
          <w:b/>
          <w:color w:val="632423" w:themeColor="accent2" w:themeShade="80"/>
          <w:sz w:val="32"/>
          <w:szCs w:val="32"/>
          <w:lang w:val="es-ES"/>
        </w:rPr>
      </w:pPr>
    </w:p>
    <w:p w14:paraId="682903F5" w14:textId="0889AAC5" w:rsidR="00AC108F" w:rsidRDefault="00AC108F" w:rsidP="00AC108F">
      <w:pPr>
        <w:jc w:val="center"/>
        <w:rPr>
          <w:rFonts w:ascii="Montserrat" w:hAnsi="Montserrat" w:cs="Arial"/>
          <w:b/>
          <w:color w:val="632423" w:themeColor="accent2" w:themeShade="80"/>
          <w:sz w:val="32"/>
          <w:szCs w:val="32"/>
          <w:lang w:val="es-ES"/>
        </w:rPr>
      </w:pPr>
    </w:p>
    <w:p w14:paraId="2468F619" w14:textId="69B5EF34" w:rsidR="00AC108F" w:rsidRDefault="00AC108F" w:rsidP="00AC108F">
      <w:pPr>
        <w:jc w:val="center"/>
        <w:rPr>
          <w:rFonts w:ascii="Montserrat" w:hAnsi="Montserrat" w:cs="Arial"/>
          <w:b/>
          <w:color w:val="632423" w:themeColor="accent2" w:themeShade="80"/>
          <w:sz w:val="32"/>
          <w:szCs w:val="32"/>
          <w:lang w:val="es-ES"/>
        </w:rPr>
      </w:pPr>
    </w:p>
    <w:p w14:paraId="03A67ABB" w14:textId="24BF0D6F" w:rsidR="00AC108F" w:rsidRDefault="00AC108F" w:rsidP="00AC108F">
      <w:pPr>
        <w:jc w:val="center"/>
        <w:rPr>
          <w:rFonts w:ascii="Montserrat" w:hAnsi="Montserrat" w:cs="Arial"/>
          <w:b/>
          <w:color w:val="632423" w:themeColor="accent2" w:themeShade="80"/>
          <w:sz w:val="32"/>
          <w:szCs w:val="32"/>
          <w:lang w:val="es-ES"/>
        </w:rPr>
      </w:pPr>
    </w:p>
    <w:p w14:paraId="50732953" w14:textId="6D05325C" w:rsidR="00AC108F" w:rsidRDefault="00AC108F" w:rsidP="00AC108F">
      <w:pPr>
        <w:jc w:val="center"/>
        <w:rPr>
          <w:rFonts w:ascii="Montserrat" w:hAnsi="Montserrat" w:cs="Arial"/>
          <w:b/>
          <w:color w:val="632423" w:themeColor="accent2" w:themeShade="80"/>
          <w:sz w:val="32"/>
          <w:szCs w:val="32"/>
          <w:lang w:val="es-ES"/>
        </w:rPr>
      </w:pPr>
    </w:p>
    <w:p w14:paraId="7B69F21F" w14:textId="2A7A9576" w:rsidR="00AC108F" w:rsidRDefault="00AC108F" w:rsidP="00AC108F">
      <w:pPr>
        <w:jc w:val="center"/>
        <w:rPr>
          <w:rFonts w:ascii="Montserrat" w:hAnsi="Montserrat" w:cs="Arial"/>
          <w:b/>
          <w:color w:val="632423" w:themeColor="accent2" w:themeShade="80"/>
          <w:sz w:val="32"/>
          <w:szCs w:val="32"/>
          <w:lang w:val="es-ES"/>
        </w:rPr>
      </w:pPr>
    </w:p>
    <w:p w14:paraId="4642BA88" w14:textId="77777777" w:rsidR="00AC108F" w:rsidRPr="00AC108F" w:rsidRDefault="00AC108F" w:rsidP="00AC108F">
      <w:pPr>
        <w:jc w:val="both"/>
        <w:rPr>
          <w:rFonts w:ascii="Montserrat" w:hAnsi="Montserrat" w:cs="Arial"/>
          <w:b/>
          <w:color w:val="943634" w:themeColor="accent2" w:themeShade="BF"/>
          <w:sz w:val="22"/>
          <w:szCs w:val="22"/>
          <w:lang w:val="es-ES"/>
        </w:rPr>
      </w:pPr>
      <w:r w:rsidRPr="00AC108F">
        <w:rPr>
          <w:rFonts w:ascii="Montserrat" w:hAnsi="Montserrat" w:cs="Arial"/>
          <w:b/>
          <w:color w:val="943634" w:themeColor="accent2" w:themeShade="BF"/>
          <w:sz w:val="22"/>
          <w:szCs w:val="22"/>
          <w:lang w:val="es-ES"/>
        </w:rPr>
        <w:t>INTRODUCCIÓN</w:t>
      </w:r>
    </w:p>
    <w:p w14:paraId="08FAD843" w14:textId="77777777" w:rsidR="00AC108F" w:rsidRPr="00C27A0E" w:rsidRDefault="00AC108F" w:rsidP="00AC108F">
      <w:pPr>
        <w:jc w:val="both"/>
        <w:rPr>
          <w:rFonts w:ascii="Montserrat" w:hAnsi="Montserrat" w:cs="Arial"/>
          <w:sz w:val="22"/>
          <w:szCs w:val="22"/>
          <w:lang w:val="es-ES"/>
        </w:rPr>
      </w:pPr>
      <w:r>
        <w:rPr>
          <w:rFonts w:ascii="Montserrat" w:hAnsi="Montserrat" w:cs="Arial"/>
          <w:sz w:val="22"/>
          <w:szCs w:val="22"/>
          <w:lang w:val="es-ES"/>
        </w:rPr>
        <w:t>Derivado de la entrada en vigor de</w:t>
      </w:r>
      <w:r w:rsidRPr="00C27A0E">
        <w:rPr>
          <w:rFonts w:ascii="Montserrat" w:hAnsi="Montserrat" w:cs="Arial"/>
          <w:sz w:val="22"/>
          <w:szCs w:val="22"/>
          <w:lang w:val="es-ES"/>
        </w:rPr>
        <w:t xml:space="preserve"> la Ley General de Protección de Datos Personales en Posesión de Sujetos Obligados (</w:t>
      </w:r>
      <w:r>
        <w:rPr>
          <w:rFonts w:ascii="Montserrat" w:hAnsi="Montserrat" w:cs="Arial"/>
          <w:sz w:val="22"/>
          <w:szCs w:val="22"/>
          <w:lang w:val="es-ES"/>
        </w:rPr>
        <w:t>LGPDPPSO, Ley</w:t>
      </w:r>
      <w:r w:rsidRPr="00C27A0E">
        <w:rPr>
          <w:rFonts w:ascii="Montserrat" w:hAnsi="Montserrat" w:cs="Arial"/>
          <w:sz w:val="22"/>
          <w:szCs w:val="22"/>
          <w:lang w:val="es-ES"/>
        </w:rPr>
        <w:t>), la cual tiene como objetivo establecer las bases, principios y procedimientos para garantizar el derecho que tiene toda persona a la protección de sus datos personales que estén en pos</w:t>
      </w:r>
      <w:r>
        <w:rPr>
          <w:rFonts w:ascii="Montserrat" w:hAnsi="Montserrat" w:cs="Arial"/>
          <w:sz w:val="22"/>
          <w:szCs w:val="22"/>
          <w:lang w:val="es-ES"/>
        </w:rPr>
        <w:t xml:space="preserve">esión, en este caso de los Sujetos Obligados. </w:t>
      </w:r>
    </w:p>
    <w:p w14:paraId="1A47488D" w14:textId="77777777" w:rsidR="00AC108F" w:rsidRPr="00C27A0E" w:rsidRDefault="00AC108F" w:rsidP="00AC108F">
      <w:pPr>
        <w:jc w:val="both"/>
        <w:rPr>
          <w:rFonts w:ascii="Montserrat" w:hAnsi="Montserrat" w:cs="Arial"/>
          <w:sz w:val="22"/>
          <w:szCs w:val="22"/>
          <w:lang w:val="es-ES"/>
        </w:rPr>
      </w:pPr>
    </w:p>
    <w:p w14:paraId="3BB70444" w14:textId="77777777" w:rsidR="00AC108F" w:rsidRPr="00C27A0E" w:rsidRDefault="00AC108F" w:rsidP="00AC108F">
      <w:pPr>
        <w:jc w:val="both"/>
        <w:rPr>
          <w:rFonts w:ascii="Montserrat" w:hAnsi="Montserrat" w:cs="Arial"/>
          <w:sz w:val="22"/>
          <w:szCs w:val="22"/>
          <w:lang w:val="es-ES"/>
        </w:rPr>
      </w:pPr>
      <w:r>
        <w:rPr>
          <w:rFonts w:ascii="Montserrat" w:hAnsi="Montserrat" w:cs="Arial"/>
          <w:sz w:val="22"/>
          <w:szCs w:val="22"/>
          <w:lang w:val="es-ES"/>
        </w:rPr>
        <w:t>Sobre el particular, e</w:t>
      </w:r>
      <w:r w:rsidRPr="00C27A0E">
        <w:rPr>
          <w:rFonts w:ascii="Montserrat" w:hAnsi="Montserrat" w:cs="Arial"/>
          <w:sz w:val="22"/>
          <w:szCs w:val="22"/>
          <w:lang w:val="es-ES"/>
        </w:rPr>
        <w:t xml:space="preserve">n su artículo primero, la Ley señala que son sujetos obligados, en el ámbito federal, estatal y municipal, cualquier autoridad, entidad, órgano y organismo de los Poderes Ejecutivo, Legislativo y Judicial, órganos autónomos, partidos políticos, fideicomisos y fondos públicos. </w:t>
      </w:r>
    </w:p>
    <w:p w14:paraId="772B83A2" w14:textId="77777777" w:rsidR="00AC108F" w:rsidRPr="00C27A0E" w:rsidRDefault="00AC108F" w:rsidP="00AC108F">
      <w:pPr>
        <w:jc w:val="both"/>
        <w:rPr>
          <w:rFonts w:ascii="Montserrat" w:hAnsi="Montserrat" w:cs="Arial"/>
          <w:sz w:val="22"/>
          <w:szCs w:val="22"/>
          <w:lang w:val="es-ES"/>
        </w:rPr>
      </w:pPr>
    </w:p>
    <w:p w14:paraId="5B65E35F" w14:textId="77777777" w:rsidR="00AC108F" w:rsidRDefault="00AC108F" w:rsidP="00AC108F">
      <w:pPr>
        <w:jc w:val="both"/>
        <w:rPr>
          <w:rFonts w:ascii="Montserrat" w:hAnsi="Montserrat" w:cs="Arial"/>
          <w:sz w:val="22"/>
          <w:szCs w:val="22"/>
          <w:lang w:val="es-ES"/>
        </w:rPr>
      </w:pPr>
      <w:r>
        <w:rPr>
          <w:rFonts w:ascii="Montserrat" w:hAnsi="Montserrat" w:cs="Arial"/>
          <w:sz w:val="22"/>
          <w:szCs w:val="22"/>
          <w:lang w:val="es-ES"/>
        </w:rPr>
        <w:t>Consecuentemente el Centro de Investigación en Matemáticas, A.C.</w:t>
      </w:r>
      <w:r w:rsidRPr="00C27A0E">
        <w:rPr>
          <w:rFonts w:ascii="Montserrat" w:hAnsi="Montserrat" w:cs="Arial"/>
          <w:sz w:val="22"/>
          <w:szCs w:val="22"/>
          <w:lang w:val="es-ES"/>
        </w:rPr>
        <w:t xml:space="preserve"> es sujeto obligado de la Ley</w:t>
      </w:r>
      <w:r>
        <w:rPr>
          <w:rFonts w:ascii="Montserrat" w:hAnsi="Montserrat" w:cs="Arial"/>
          <w:sz w:val="22"/>
          <w:szCs w:val="22"/>
          <w:lang w:val="es-ES"/>
        </w:rPr>
        <w:t xml:space="preserve"> </w:t>
      </w:r>
      <w:r w:rsidRPr="00C27A0E">
        <w:rPr>
          <w:rFonts w:ascii="Montserrat" w:hAnsi="Montserrat" w:cs="Arial"/>
          <w:sz w:val="22"/>
          <w:szCs w:val="22"/>
          <w:lang w:val="es-ES"/>
        </w:rPr>
        <w:t>y, por ello, debe observar lo dispuesto por dicho instrumento normativo en el tratamiento de datos personales que lleve a cabo.</w:t>
      </w:r>
    </w:p>
    <w:p w14:paraId="6ED0A7B9" w14:textId="77777777" w:rsidR="00AC108F" w:rsidRPr="00C27A0E" w:rsidRDefault="00AC108F" w:rsidP="00AC108F">
      <w:pPr>
        <w:jc w:val="both"/>
        <w:rPr>
          <w:rFonts w:ascii="Montserrat" w:hAnsi="Montserrat" w:cs="Arial"/>
          <w:sz w:val="22"/>
          <w:szCs w:val="22"/>
          <w:lang w:val="es-ES"/>
        </w:rPr>
      </w:pPr>
    </w:p>
    <w:p w14:paraId="55BF59D8"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De acuerdo con lo dispuesto por los artículos 29 y 30, fracciones</w:t>
      </w:r>
      <w:r>
        <w:rPr>
          <w:rFonts w:ascii="Montserrat" w:hAnsi="Montserrat" w:cs="Arial"/>
          <w:sz w:val="22"/>
          <w:szCs w:val="22"/>
          <w:lang w:val="es-ES"/>
        </w:rPr>
        <w:t xml:space="preserve"> I y VII de la Ley General, el CIMAT</w:t>
      </w:r>
      <w:r w:rsidRPr="00C27A0E">
        <w:rPr>
          <w:rFonts w:ascii="Montserrat" w:hAnsi="Montserrat" w:cs="Arial"/>
          <w:sz w:val="22"/>
          <w:szCs w:val="22"/>
          <w:lang w:val="es-ES"/>
        </w:rPr>
        <w:t xml:space="preserve"> deberá implementar mecanismos para acreditar el cumplimiento de los principios, deberes y obligaciones establecidos en dicha Ley. La </w:t>
      </w:r>
      <w:r>
        <w:rPr>
          <w:rFonts w:ascii="Montserrat" w:hAnsi="Montserrat" w:cs="Arial"/>
          <w:sz w:val="22"/>
          <w:szCs w:val="22"/>
          <w:lang w:val="es-ES"/>
        </w:rPr>
        <w:t>misma</w:t>
      </w:r>
      <w:r w:rsidRPr="00C27A0E">
        <w:rPr>
          <w:rFonts w:ascii="Montserrat" w:hAnsi="Montserrat" w:cs="Arial"/>
          <w:sz w:val="22"/>
          <w:szCs w:val="22"/>
          <w:lang w:val="es-ES"/>
        </w:rPr>
        <w:t xml:space="preserve"> dispone que el tratamiento de datos personales que realicen los sujetos obligados estará regido por ocho principios y dos deberes. Los ocho principios son: </w:t>
      </w:r>
      <w:r w:rsidRPr="00C5414F">
        <w:rPr>
          <w:rFonts w:ascii="Montserrat" w:hAnsi="Montserrat" w:cs="Arial"/>
          <w:b/>
          <w:sz w:val="22"/>
          <w:szCs w:val="22"/>
          <w:lang w:val="es-ES"/>
        </w:rPr>
        <w:t>licitud, lealtad, información, consentimiento, finalidad, proporcionalidad, calidad y responsabilidad</w:t>
      </w:r>
      <w:r w:rsidRPr="00C27A0E">
        <w:rPr>
          <w:rFonts w:ascii="Montserrat" w:hAnsi="Montserrat" w:cs="Arial"/>
          <w:sz w:val="22"/>
          <w:szCs w:val="22"/>
          <w:lang w:val="es-ES"/>
        </w:rPr>
        <w:t xml:space="preserve">; mientras que los dos deberes son el de </w:t>
      </w:r>
      <w:r w:rsidRPr="00C5414F">
        <w:rPr>
          <w:rFonts w:ascii="Montserrat" w:hAnsi="Montserrat" w:cs="Arial"/>
          <w:b/>
          <w:sz w:val="22"/>
          <w:szCs w:val="22"/>
          <w:lang w:val="es-ES"/>
        </w:rPr>
        <w:t>confidencialidad y seguridad</w:t>
      </w:r>
      <w:r w:rsidRPr="00C27A0E">
        <w:rPr>
          <w:rFonts w:ascii="Montserrat" w:hAnsi="Montserrat" w:cs="Arial"/>
          <w:sz w:val="22"/>
          <w:szCs w:val="22"/>
          <w:lang w:val="es-ES"/>
        </w:rPr>
        <w:t xml:space="preserve">. Estos principios, deberes y derechos imponen una serie de obligaciones para los sujetos </w:t>
      </w:r>
      <w:r>
        <w:rPr>
          <w:rFonts w:ascii="Montserrat" w:hAnsi="Montserrat" w:cs="Arial"/>
          <w:sz w:val="22"/>
          <w:szCs w:val="22"/>
          <w:lang w:val="es-ES"/>
        </w:rPr>
        <w:t>regulados por la Ley</w:t>
      </w:r>
      <w:r w:rsidRPr="00C27A0E">
        <w:rPr>
          <w:rFonts w:ascii="Montserrat" w:hAnsi="Montserrat" w:cs="Arial"/>
          <w:sz w:val="22"/>
          <w:szCs w:val="22"/>
          <w:lang w:val="es-ES"/>
        </w:rPr>
        <w:t>, cuya finalidad es que el tratamiento se realice garantizando la protección de los datos personales, con el objeto de respetar el derecho a la autodeterminación informativa de los titulares.</w:t>
      </w:r>
    </w:p>
    <w:p w14:paraId="28E69434" w14:textId="77777777" w:rsidR="00AC108F" w:rsidRPr="00C27A0E" w:rsidRDefault="00AC108F" w:rsidP="00AC108F">
      <w:pPr>
        <w:jc w:val="both"/>
        <w:rPr>
          <w:rFonts w:ascii="Montserrat" w:hAnsi="Montserrat" w:cs="Arial"/>
          <w:sz w:val="22"/>
          <w:szCs w:val="22"/>
          <w:lang w:val="es-ES"/>
        </w:rPr>
      </w:pPr>
    </w:p>
    <w:p w14:paraId="30D05579"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Asimismo, la Ley General detalla el alcance y los procedimientos para el ejercicio de los cuatro derechos que el artículo 16 de la Constitución Política de los Estados Unidos Mexicanos reconoce a los titulares de los datos personales: acceso, rectificación, cancelación y oposición (derechos ARCO), y reconoce uno más, el de portabilidad. </w:t>
      </w:r>
    </w:p>
    <w:p w14:paraId="436BE0D8" w14:textId="77777777" w:rsidR="00AC108F" w:rsidRPr="00C27A0E" w:rsidRDefault="00AC108F" w:rsidP="00AC108F">
      <w:pPr>
        <w:jc w:val="both"/>
        <w:rPr>
          <w:rFonts w:ascii="Montserrat" w:hAnsi="Montserrat" w:cs="Arial"/>
          <w:sz w:val="22"/>
          <w:szCs w:val="22"/>
          <w:lang w:val="es-ES"/>
        </w:rPr>
      </w:pPr>
    </w:p>
    <w:p w14:paraId="1C9D88CD"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El 26 de enero de 2018, se publicaron en el Diario Oficial de la Federación los Lineamientos Generales de Protección de Datos Personales para el Sector Público (Lineamientos Generales) cuyo objetivo es desarrollar las disposiciones previstas en la Ley General de Datos y, con ello, hacer más comprensible el cumplimiento de los principios, deberes y obligaciones exigidos en materia de protección de datos personales. </w:t>
      </w:r>
    </w:p>
    <w:p w14:paraId="6295DB24" w14:textId="77777777" w:rsidR="00AC108F" w:rsidRPr="00C27A0E" w:rsidRDefault="00AC108F" w:rsidP="00AC108F">
      <w:pPr>
        <w:jc w:val="both"/>
        <w:rPr>
          <w:rFonts w:ascii="Montserrat" w:hAnsi="Montserrat" w:cs="Arial"/>
          <w:sz w:val="22"/>
          <w:szCs w:val="22"/>
          <w:lang w:val="es-ES"/>
        </w:rPr>
      </w:pPr>
    </w:p>
    <w:p w14:paraId="2A04D689"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En específico, con relación al deber de seguridad, el artículo 31 de la Ley General de Datos señala que el responsable del tratamiento deberá establecer y mantener medidas de </w:t>
      </w:r>
      <w:r w:rsidRPr="00C27A0E">
        <w:rPr>
          <w:rFonts w:ascii="Montserrat" w:hAnsi="Montserrat" w:cs="Arial"/>
          <w:sz w:val="22"/>
          <w:szCs w:val="22"/>
          <w:lang w:val="es-ES"/>
        </w:rPr>
        <w:lastRenderedPageBreak/>
        <w:t xml:space="preserve">seguridad de carácter administrativo, físico y técnico para la protección de los datos personales, que permitan protegerlos contra daño, pérdida, alteración, destrucción o su uso, acceso o tratamiento no autorizado, así como garantizar su confidencialidad, integridad y disponibilidad. </w:t>
      </w:r>
    </w:p>
    <w:p w14:paraId="16A7132C" w14:textId="77777777" w:rsidR="00AC108F" w:rsidRPr="00C27A0E" w:rsidRDefault="00AC108F" w:rsidP="00AC108F">
      <w:pPr>
        <w:jc w:val="both"/>
        <w:rPr>
          <w:rFonts w:ascii="Montserrat" w:hAnsi="Montserrat" w:cs="Arial"/>
          <w:sz w:val="22"/>
          <w:szCs w:val="22"/>
          <w:lang w:val="es-ES"/>
        </w:rPr>
      </w:pPr>
    </w:p>
    <w:p w14:paraId="22974AD0"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Al respecto, el artículo 33 de la Ley General de Datos señala lo siguiente: </w:t>
      </w:r>
    </w:p>
    <w:p w14:paraId="211DE083" w14:textId="77777777" w:rsidR="00AC108F" w:rsidRPr="00C27A0E" w:rsidRDefault="00AC108F" w:rsidP="00AC108F">
      <w:pPr>
        <w:jc w:val="both"/>
        <w:rPr>
          <w:rFonts w:ascii="Montserrat" w:hAnsi="Montserrat" w:cs="Arial"/>
          <w:sz w:val="22"/>
          <w:szCs w:val="22"/>
          <w:lang w:val="es-ES"/>
        </w:rPr>
      </w:pPr>
    </w:p>
    <w:p w14:paraId="123AB7FE"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Artículo 33. Para establecer y mantener las medidas de seguridad para la protección de los datos personales, el responsable deberá realizar, al menos, las siguientes actividades interrelacionadas:</w:t>
      </w:r>
    </w:p>
    <w:p w14:paraId="71B139CD"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w:t>
      </w:r>
      <w:r w:rsidRPr="00C27A0E">
        <w:rPr>
          <w:rFonts w:ascii="Montserrat" w:hAnsi="Montserrat" w:cs="Arial"/>
          <w:sz w:val="22"/>
          <w:szCs w:val="22"/>
          <w:lang w:val="es-ES"/>
        </w:rPr>
        <w:tab/>
        <w:t>Crear políticas internas para la gestión y tratamiento de los datos personales, que tomen en cuenta el contexto en el que ocurren los tratamientos y el ciclo de vida de los datos personales, es decir, su obtención, uso y posterior supresión;</w:t>
      </w:r>
    </w:p>
    <w:p w14:paraId="370365F5"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II.</w:t>
      </w:r>
      <w:r w:rsidRPr="00C27A0E">
        <w:rPr>
          <w:rFonts w:ascii="Montserrat" w:hAnsi="Montserrat" w:cs="Arial"/>
          <w:sz w:val="22"/>
          <w:szCs w:val="22"/>
          <w:lang w:val="es-ES"/>
        </w:rPr>
        <w:tab/>
        <w:t>Definir las funciones y obligaciones del personal involucrado en el tratamiento de datos personales;</w:t>
      </w:r>
    </w:p>
    <w:p w14:paraId="186B44D8"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III.</w:t>
      </w:r>
      <w:r w:rsidRPr="00C27A0E">
        <w:rPr>
          <w:rFonts w:ascii="Montserrat" w:hAnsi="Montserrat" w:cs="Arial"/>
          <w:sz w:val="22"/>
          <w:szCs w:val="22"/>
          <w:lang w:val="es-ES"/>
        </w:rPr>
        <w:tab/>
        <w:t>Elaborar un inventario de datos personales y de los sistemas de tratamiento;</w:t>
      </w:r>
    </w:p>
    <w:p w14:paraId="663CC7F7"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IV.</w:t>
      </w:r>
      <w:r w:rsidRPr="00C27A0E">
        <w:rPr>
          <w:rFonts w:ascii="Montserrat" w:hAnsi="Montserrat" w:cs="Arial"/>
          <w:sz w:val="22"/>
          <w:szCs w:val="22"/>
          <w:lang w:val="es-ES"/>
        </w:rPr>
        <w:tab/>
        <w:t>Realizar un análisis de riesgo de los datos personales, considerando las amenazas y vulnerabilidades existentes para los datos personales y los recursos involucrados en su tratamiento, como pueden ser, de manera enunciativa más no limitativa, hardware, software, personal del responsable, entre otros;</w:t>
      </w:r>
    </w:p>
    <w:p w14:paraId="44D04318"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w:t>
      </w:r>
      <w:r w:rsidRPr="00C27A0E">
        <w:rPr>
          <w:rFonts w:ascii="Montserrat" w:hAnsi="Montserrat" w:cs="Arial"/>
          <w:sz w:val="22"/>
          <w:szCs w:val="22"/>
          <w:lang w:val="es-ES"/>
        </w:rPr>
        <w:tab/>
        <w:t>Realizar un análisis de brecha, comparando las medidas de seguridad existentes contra las faltantes en la organización del responsable;</w:t>
      </w:r>
    </w:p>
    <w:p w14:paraId="04AACCEF"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VI.</w:t>
      </w:r>
      <w:r w:rsidRPr="00C27A0E">
        <w:rPr>
          <w:rFonts w:ascii="Montserrat" w:hAnsi="Montserrat" w:cs="Arial"/>
          <w:sz w:val="22"/>
          <w:szCs w:val="22"/>
          <w:lang w:val="es-ES"/>
        </w:rPr>
        <w:tab/>
        <w:t>Elaborar un plan de trabajo para la implementación de las medidas de seguridad faltantes, así como las medidas para el cumplimiento cotidiano de las políticas de gestión y tratamiento de los datos personales;</w:t>
      </w:r>
    </w:p>
    <w:p w14:paraId="27849ECE"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VII.</w:t>
      </w:r>
      <w:r w:rsidRPr="00C27A0E">
        <w:rPr>
          <w:rFonts w:ascii="Montserrat" w:hAnsi="Montserrat" w:cs="Arial"/>
          <w:sz w:val="22"/>
          <w:szCs w:val="22"/>
          <w:lang w:val="es-ES"/>
        </w:rPr>
        <w:tab/>
        <w:t>Monitorear y revisar de manera periódica las medidas de seguridad implementadas, así como las amenazas y vulneraciones a las que están sujetos los datos personales, y</w:t>
      </w:r>
    </w:p>
    <w:p w14:paraId="25CCFE3C"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VIII.</w:t>
      </w:r>
      <w:r w:rsidRPr="00C27A0E">
        <w:rPr>
          <w:rFonts w:ascii="Montserrat" w:hAnsi="Montserrat" w:cs="Arial"/>
          <w:sz w:val="22"/>
          <w:szCs w:val="22"/>
          <w:lang w:val="es-ES"/>
        </w:rPr>
        <w:tab/>
        <w:t>Diseñar y aplicar diferentes niveles de capacitación del personal bajo su mando, dependiendo de sus roles y responsabilidades respecto del tratamiento de los datos personales.</w:t>
      </w:r>
    </w:p>
    <w:p w14:paraId="4441FC85" w14:textId="77777777" w:rsidR="00AC108F" w:rsidRPr="00C27A0E" w:rsidRDefault="00AC108F" w:rsidP="00AC108F">
      <w:pPr>
        <w:jc w:val="both"/>
        <w:rPr>
          <w:rFonts w:ascii="Montserrat" w:hAnsi="Montserrat" w:cs="Arial"/>
          <w:sz w:val="22"/>
          <w:szCs w:val="22"/>
          <w:lang w:val="es-ES"/>
        </w:rPr>
      </w:pPr>
    </w:p>
    <w:p w14:paraId="3281410D"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Por su parte, el artículo 35 de la Ley General de Datos establece como una obligación la elaboración de un documento de seguridad, que se define -según la fracción XIV del artículo 3 de la Ley General- como el instrumento que describe y da cuenta de manera general sobre las medidas de seguridad técnicas, físicas y administrativas adoptadas por el responsable para garantizar la confidencialidad, integridad y disponibilidad de los datos personales que posee. </w:t>
      </w:r>
    </w:p>
    <w:p w14:paraId="23A9552F" w14:textId="77777777" w:rsidR="00AC108F" w:rsidRPr="00C27A0E" w:rsidRDefault="00AC108F" w:rsidP="00AC108F">
      <w:pPr>
        <w:jc w:val="both"/>
        <w:rPr>
          <w:rFonts w:ascii="Montserrat" w:hAnsi="Montserrat" w:cs="Arial"/>
          <w:sz w:val="22"/>
          <w:szCs w:val="22"/>
          <w:lang w:val="es-ES"/>
        </w:rPr>
      </w:pPr>
    </w:p>
    <w:p w14:paraId="3235AE2A"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 xml:space="preserve">De conformidad con el artículo 35 de la Ley General de Datos, el documento deberá contener, al menos, la siguiente información: </w:t>
      </w:r>
    </w:p>
    <w:p w14:paraId="50673CAD" w14:textId="77777777" w:rsidR="00AC108F" w:rsidRPr="00C27A0E" w:rsidRDefault="00AC108F" w:rsidP="00AC108F">
      <w:pPr>
        <w:jc w:val="both"/>
        <w:rPr>
          <w:rFonts w:ascii="Montserrat" w:hAnsi="Montserrat" w:cs="Arial"/>
          <w:sz w:val="22"/>
          <w:szCs w:val="22"/>
          <w:lang w:val="es-ES"/>
        </w:rPr>
      </w:pPr>
    </w:p>
    <w:p w14:paraId="238F9443"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w:t>
      </w:r>
      <w:r w:rsidRPr="00C27A0E">
        <w:rPr>
          <w:rFonts w:ascii="Montserrat" w:hAnsi="Montserrat" w:cs="Arial"/>
          <w:sz w:val="22"/>
          <w:szCs w:val="22"/>
          <w:lang w:val="es-ES"/>
        </w:rPr>
        <w:tab/>
        <w:t>El inventario de datos personales y de los sistemas de tratamiento;</w:t>
      </w:r>
    </w:p>
    <w:p w14:paraId="563798E4"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lastRenderedPageBreak/>
        <w:t>II.</w:t>
      </w:r>
      <w:r w:rsidRPr="00C27A0E">
        <w:rPr>
          <w:rFonts w:ascii="Montserrat" w:hAnsi="Montserrat" w:cs="Arial"/>
          <w:sz w:val="22"/>
          <w:szCs w:val="22"/>
          <w:lang w:val="es-ES"/>
        </w:rPr>
        <w:tab/>
        <w:t>Las funciones y obligaciones de las personas que traten datos personales;</w:t>
      </w:r>
    </w:p>
    <w:p w14:paraId="2DF158C4"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III.</w:t>
      </w:r>
      <w:r w:rsidRPr="00C27A0E">
        <w:rPr>
          <w:rFonts w:ascii="Montserrat" w:hAnsi="Montserrat" w:cs="Arial"/>
          <w:sz w:val="22"/>
          <w:szCs w:val="22"/>
          <w:lang w:val="es-ES"/>
        </w:rPr>
        <w:tab/>
        <w:t>El análisis de riesgos;</w:t>
      </w:r>
    </w:p>
    <w:p w14:paraId="1EE72D4C"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IV.</w:t>
      </w:r>
      <w:r w:rsidRPr="00C27A0E">
        <w:rPr>
          <w:rFonts w:ascii="Montserrat" w:hAnsi="Montserrat" w:cs="Arial"/>
          <w:sz w:val="22"/>
          <w:szCs w:val="22"/>
          <w:lang w:val="es-ES"/>
        </w:rPr>
        <w:tab/>
        <w:t>El análisis de brecha;</w:t>
      </w:r>
    </w:p>
    <w:p w14:paraId="25C18B23"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w:t>
      </w:r>
      <w:r w:rsidRPr="00C27A0E">
        <w:rPr>
          <w:rFonts w:ascii="Montserrat" w:hAnsi="Montserrat" w:cs="Arial"/>
          <w:sz w:val="22"/>
          <w:szCs w:val="22"/>
          <w:lang w:val="es-ES"/>
        </w:rPr>
        <w:tab/>
        <w:t>El plan de trabajo;</w:t>
      </w:r>
    </w:p>
    <w:p w14:paraId="0D037EFB"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VI.</w:t>
      </w:r>
      <w:r w:rsidRPr="00C27A0E">
        <w:rPr>
          <w:rFonts w:ascii="Montserrat" w:hAnsi="Montserrat" w:cs="Arial"/>
          <w:sz w:val="22"/>
          <w:szCs w:val="22"/>
          <w:lang w:val="es-ES"/>
        </w:rPr>
        <w:tab/>
        <w:t>Los mecanismos de monitoreo y revisión de las medidas de seguridad, y</w:t>
      </w:r>
    </w:p>
    <w:p w14:paraId="5A2B1EAD" w14:textId="77777777" w:rsidR="00AC108F" w:rsidRPr="00C27A0E"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VII.</w:t>
      </w:r>
      <w:r w:rsidRPr="00C27A0E">
        <w:rPr>
          <w:rFonts w:ascii="Montserrat" w:hAnsi="Montserrat" w:cs="Arial"/>
          <w:sz w:val="22"/>
          <w:szCs w:val="22"/>
          <w:lang w:val="es-ES"/>
        </w:rPr>
        <w:tab/>
        <w:t>El programa general de capacitación.</w:t>
      </w:r>
    </w:p>
    <w:p w14:paraId="4344B53B" w14:textId="77777777" w:rsidR="00AC108F" w:rsidRPr="00C27A0E" w:rsidRDefault="00AC108F" w:rsidP="00AC108F">
      <w:pPr>
        <w:jc w:val="both"/>
        <w:rPr>
          <w:rFonts w:ascii="Montserrat" w:hAnsi="Montserrat" w:cs="Arial"/>
          <w:sz w:val="22"/>
          <w:szCs w:val="22"/>
          <w:lang w:val="es-ES"/>
        </w:rPr>
      </w:pPr>
    </w:p>
    <w:p w14:paraId="3DE95EDE" w14:textId="77777777" w:rsidR="00AC108F" w:rsidRDefault="00AC108F" w:rsidP="00AC108F">
      <w:pPr>
        <w:jc w:val="both"/>
        <w:rPr>
          <w:rFonts w:ascii="Montserrat" w:hAnsi="Montserrat" w:cs="Arial"/>
          <w:sz w:val="22"/>
          <w:szCs w:val="22"/>
          <w:lang w:val="es-ES"/>
        </w:rPr>
      </w:pPr>
      <w:r w:rsidRPr="00C27A0E">
        <w:rPr>
          <w:rFonts w:ascii="Montserrat" w:hAnsi="Montserrat" w:cs="Arial"/>
          <w:sz w:val="22"/>
          <w:szCs w:val="22"/>
          <w:lang w:val="es-ES"/>
        </w:rPr>
        <w:t>En ese sentido, en cumplimiento de las obligaciones antes descritas, a continuación, se presenta el documento de seguridad del INAI con los elementos informativos que establece el artículo 35 de la Ley General de Datos.</w:t>
      </w:r>
    </w:p>
    <w:p w14:paraId="3CE93A99" w14:textId="77777777" w:rsidR="00AC108F" w:rsidRDefault="00AC108F" w:rsidP="00AC108F">
      <w:pPr>
        <w:jc w:val="both"/>
        <w:rPr>
          <w:rFonts w:ascii="Montserrat" w:hAnsi="Montserrat" w:cs="Arial"/>
          <w:sz w:val="22"/>
          <w:szCs w:val="22"/>
          <w:lang w:val="es-ES"/>
        </w:rPr>
      </w:pPr>
      <w:r w:rsidRPr="00FC2745">
        <w:rPr>
          <w:rFonts w:ascii="Montserrat" w:hAnsi="Montserrat" w:cs="Arial"/>
          <w:sz w:val="22"/>
          <w:szCs w:val="22"/>
          <w:lang w:val="es-ES"/>
        </w:rPr>
        <w:t>En cumplimiento a lo dispuesto por los artículos 33, fracción VI y 35, fracción V de la Ley General de Protección de Dato Personales en Posesión de Sujetos Obligados, y 62 de los Lineamientos Generales de Protección de Datos Personales para el Sector Público, se presenta el siguiente plan de trabajo para la implementación de las medidas de seguridad faltantes, así como las medidas para el cumplimiento cotidiano de las políticas de gestión y tratamiento de los datos personales.</w:t>
      </w:r>
    </w:p>
    <w:p w14:paraId="12A8C9EE" w14:textId="607E3410" w:rsidR="00AC108F" w:rsidRDefault="00AC108F" w:rsidP="00AC108F">
      <w:pPr>
        <w:jc w:val="both"/>
        <w:rPr>
          <w:rFonts w:ascii="Montserrat" w:hAnsi="Montserrat" w:cs="Arial"/>
          <w:b/>
          <w:color w:val="632423" w:themeColor="accent2" w:themeShade="80"/>
          <w:sz w:val="32"/>
          <w:szCs w:val="32"/>
          <w:lang w:val="es-ES"/>
        </w:rPr>
      </w:pPr>
    </w:p>
    <w:p w14:paraId="64A034CF" w14:textId="7116D1B9" w:rsidR="00AC108F" w:rsidRDefault="00AC108F" w:rsidP="00AC108F">
      <w:pPr>
        <w:jc w:val="both"/>
        <w:rPr>
          <w:rFonts w:ascii="Montserrat" w:hAnsi="Montserrat" w:cs="Arial"/>
          <w:b/>
          <w:color w:val="632423" w:themeColor="accent2" w:themeShade="80"/>
          <w:sz w:val="32"/>
          <w:szCs w:val="32"/>
          <w:lang w:val="es-ES"/>
        </w:rPr>
      </w:pPr>
    </w:p>
    <w:p w14:paraId="13788EF6" w14:textId="13112473" w:rsidR="00AC108F" w:rsidRDefault="00AC108F" w:rsidP="00AC108F">
      <w:pPr>
        <w:jc w:val="both"/>
        <w:rPr>
          <w:rFonts w:ascii="Montserrat" w:hAnsi="Montserrat" w:cs="Arial"/>
          <w:b/>
          <w:color w:val="632423" w:themeColor="accent2" w:themeShade="80"/>
          <w:sz w:val="32"/>
          <w:szCs w:val="32"/>
          <w:lang w:val="es-ES"/>
        </w:rPr>
      </w:pPr>
    </w:p>
    <w:p w14:paraId="13B00248" w14:textId="00F4934B" w:rsidR="00AC108F" w:rsidRDefault="00AC108F" w:rsidP="00AC108F">
      <w:pPr>
        <w:jc w:val="both"/>
        <w:rPr>
          <w:rFonts w:ascii="Montserrat" w:hAnsi="Montserrat" w:cs="Arial"/>
          <w:b/>
          <w:color w:val="632423" w:themeColor="accent2" w:themeShade="80"/>
          <w:sz w:val="32"/>
          <w:szCs w:val="32"/>
          <w:lang w:val="es-ES"/>
        </w:rPr>
      </w:pPr>
    </w:p>
    <w:p w14:paraId="5659B754" w14:textId="41C34C2F" w:rsidR="00AC108F" w:rsidRDefault="00AC108F" w:rsidP="00AC108F">
      <w:pPr>
        <w:jc w:val="both"/>
        <w:rPr>
          <w:rFonts w:ascii="Montserrat" w:hAnsi="Montserrat" w:cs="Arial"/>
          <w:b/>
          <w:color w:val="632423" w:themeColor="accent2" w:themeShade="80"/>
          <w:sz w:val="32"/>
          <w:szCs w:val="32"/>
          <w:lang w:val="es-ES"/>
        </w:rPr>
      </w:pPr>
      <w:r w:rsidRPr="007C5B17">
        <w:rPr>
          <w:rFonts w:ascii="Montserrat" w:hAnsi="Montserrat" w:cs="Arial"/>
          <w:noProof/>
          <w:sz w:val="22"/>
          <w:szCs w:val="22"/>
          <w:lang w:val="es-MX"/>
        </w:rPr>
        <w:drawing>
          <wp:anchor distT="0" distB="0" distL="114300" distR="114300" simplePos="0" relativeHeight="251658240" behindDoc="1" locked="0" layoutInCell="1" allowOverlap="1" wp14:anchorId="575F6796" wp14:editId="18084024">
            <wp:simplePos x="0" y="0"/>
            <wp:positionH relativeFrom="column">
              <wp:posOffset>2308860</wp:posOffset>
            </wp:positionH>
            <wp:positionV relativeFrom="paragraph">
              <wp:posOffset>93345</wp:posOffset>
            </wp:positionV>
            <wp:extent cx="1349684" cy="1729740"/>
            <wp:effectExtent l="0" t="0" r="3175" b="3810"/>
            <wp:wrapTight wrapText="bothSides">
              <wp:wrapPolygon edited="0">
                <wp:start x="0" y="0"/>
                <wp:lineTo x="0" y="21410"/>
                <wp:lineTo x="21346" y="21410"/>
                <wp:lineTo x="21346" y="0"/>
                <wp:lineTo x="0" y="0"/>
              </wp:wrapPolygon>
            </wp:wrapTight>
            <wp:docPr id="3" name="Imagen 3" descr="C:\Users\Paco\AppData\Local\Temp\Temp1_Logos_CIMAT_2017.zip\LOGOTIPO FONDO BLANCO-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co\AppData\Local\Temp\Temp1_Logos_CIMAT_2017.zip\LOGOTIPO FONDO BLANCO-0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49684" cy="1729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CB232E" w14:textId="7D21CA92" w:rsidR="00E80B09" w:rsidRPr="0021092F" w:rsidRDefault="00E80B09" w:rsidP="003F67B5">
      <w:pPr>
        <w:jc w:val="both"/>
        <w:rPr>
          <w:rFonts w:ascii="Montserrat" w:hAnsi="Montserrat"/>
          <w:sz w:val="18"/>
          <w:szCs w:val="18"/>
        </w:rPr>
      </w:pPr>
    </w:p>
    <w:sectPr w:rsidR="00E80B09" w:rsidRPr="0021092F" w:rsidSect="00CC14FA">
      <w:headerReference w:type="default" r:id="rId8"/>
      <w:pgSz w:w="12240" w:h="15840"/>
      <w:pgMar w:top="2552"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A28CB" w14:textId="77777777" w:rsidR="00644CDC" w:rsidRDefault="00644CDC" w:rsidP="005C6F62">
      <w:r>
        <w:separator/>
      </w:r>
    </w:p>
  </w:endnote>
  <w:endnote w:type="continuationSeparator" w:id="0">
    <w:p w14:paraId="1F737995" w14:textId="77777777" w:rsidR="00644CDC" w:rsidRDefault="00644CDC" w:rsidP="005C6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swiss"/>
    <w:pitch w:val="variable"/>
    <w:sig w:usb0="00000000" w:usb1="5000A1FF" w:usb2="00000000" w:usb3="00000000" w:csb0="000001BF" w:csb1="00000000"/>
  </w:font>
  <w:font w:name="Montserrat">
    <w:altName w:val="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B0B85F" w14:textId="77777777" w:rsidR="00644CDC" w:rsidRDefault="00644CDC" w:rsidP="005C6F62">
      <w:r>
        <w:separator/>
      </w:r>
    </w:p>
  </w:footnote>
  <w:footnote w:type="continuationSeparator" w:id="0">
    <w:p w14:paraId="4A55354F" w14:textId="77777777" w:rsidR="00644CDC" w:rsidRDefault="00644CDC" w:rsidP="005C6F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F2995" w14:textId="75887C29" w:rsidR="005C6F62" w:rsidRDefault="00C36771">
    <w:pPr>
      <w:pStyle w:val="Encabezado"/>
    </w:pPr>
    <w:r>
      <w:rPr>
        <w:noProof/>
      </w:rPr>
      <w:drawing>
        <wp:anchor distT="0" distB="0" distL="114300" distR="114300" simplePos="0" relativeHeight="251658240" behindDoc="1" locked="0" layoutInCell="1" allowOverlap="1" wp14:anchorId="44331DED" wp14:editId="101015E7">
          <wp:simplePos x="0" y="0"/>
          <wp:positionH relativeFrom="column">
            <wp:posOffset>-734267</wp:posOffset>
          </wp:positionH>
          <wp:positionV relativeFrom="paragraph">
            <wp:posOffset>-436038</wp:posOffset>
          </wp:positionV>
          <wp:extent cx="7798435" cy="10092093"/>
          <wp:effectExtent l="0" t="0" r="0"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
                  <a:stretch>
                    <a:fillRect/>
                  </a:stretch>
                </pic:blipFill>
                <pic:spPr>
                  <a:xfrm>
                    <a:off x="0" y="0"/>
                    <a:ext cx="7798435" cy="10092093"/>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F62"/>
    <w:rsid w:val="00000EE0"/>
    <w:rsid w:val="000270B2"/>
    <w:rsid w:val="000356A5"/>
    <w:rsid w:val="00044727"/>
    <w:rsid w:val="000522E2"/>
    <w:rsid w:val="00075990"/>
    <w:rsid w:val="000821FA"/>
    <w:rsid w:val="000A7076"/>
    <w:rsid w:val="000B7B95"/>
    <w:rsid w:val="000C59B0"/>
    <w:rsid w:val="000F1175"/>
    <w:rsid w:val="00105BD4"/>
    <w:rsid w:val="001149BA"/>
    <w:rsid w:val="0013220F"/>
    <w:rsid w:val="00147305"/>
    <w:rsid w:val="001536F1"/>
    <w:rsid w:val="0018280B"/>
    <w:rsid w:val="001E0A72"/>
    <w:rsid w:val="001E1CD1"/>
    <w:rsid w:val="0021092F"/>
    <w:rsid w:val="00293A55"/>
    <w:rsid w:val="002D2C06"/>
    <w:rsid w:val="003067D8"/>
    <w:rsid w:val="00317B64"/>
    <w:rsid w:val="003424B4"/>
    <w:rsid w:val="003503AD"/>
    <w:rsid w:val="003654B7"/>
    <w:rsid w:val="00374185"/>
    <w:rsid w:val="003B277E"/>
    <w:rsid w:val="003C20A8"/>
    <w:rsid w:val="003D2A47"/>
    <w:rsid w:val="003E2B98"/>
    <w:rsid w:val="003F67B5"/>
    <w:rsid w:val="004337EF"/>
    <w:rsid w:val="004636CF"/>
    <w:rsid w:val="004A12EE"/>
    <w:rsid w:val="004C64FF"/>
    <w:rsid w:val="004D34E4"/>
    <w:rsid w:val="004E0CD2"/>
    <w:rsid w:val="00504D28"/>
    <w:rsid w:val="0053634D"/>
    <w:rsid w:val="00563455"/>
    <w:rsid w:val="00584BD4"/>
    <w:rsid w:val="005C47D3"/>
    <w:rsid w:val="005C6F62"/>
    <w:rsid w:val="005D033F"/>
    <w:rsid w:val="005D22C2"/>
    <w:rsid w:val="005F2C47"/>
    <w:rsid w:val="005F6C81"/>
    <w:rsid w:val="00614A6E"/>
    <w:rsid w:val="00621622"/>
    <w:rsid w:val="0063665C"/>
    <w:rsid w:val="00644CDC"/>
    <w:rsid w:val="00650A03"/>
    <w:rsid w:val="006646F0"/>
    <w:rsid w:val="00673B76"/>
    <w:rsid w:val="0069291B"/>
    <w:rsid w:val="006A0EC2"/>
    <w:rsid w:val="006A3A72"/>
    <w:rsid w:val="006A571F"/>
    <w:rsid w:val="006B3BA5"/>
    <w:rsid w:val="006D0505"/>
    <w:rsid w:val="006D3D47"/>
    <w:rsid w:val="006D68C7"/>
    <w:rsid w:val="006E3E2D"/>
    <w:rsid w:val="006F39E5"/>
    <w:rsid w:val="0070146B"/>
    <w:rsid w:val="00784358"/>
    <w:rsid w:val="007902DE"/>
    <w:rsid w:val="007D49A7"/>
    <w:rsid w:val="00805376"/>
    <w:rsid w:val="00834103"/>
    <w:rsid w:val="0084377C"/>
    <w:rsid w:val="008A1D3D"/>
    <w:rsid w:val="008A7ADF"/>
    <w:rsid w:val="0090066B"/>
    <w:rsid w:val="0092612A"/>
    <w:rsid w:val="0097446F"/>
    <w:rsid w:val="009947F3"/>
    <w:rsid w:val="009A0E55"/>
    <w:rsid w:val="009C3F7A"/>
    <w:rsid w:val="009E27B3"/>
    <w:rsid w:val="00A00D9E"/>
    <w:rsid w:val="00A041E4"/>
    <w:rsid w:val="00A15F38"/>
    <w:rsid w:val="00A316DF"/>
    <w:rsid w:val="00A321E5"/>
    <w:rsid w:val="00A52083"/>
    <w:rsid w:val="00A77985"/>
    <w:rsid w:val="00AC108F"/>
    <w:rsid w:val="00B07402"/>
    <w:rsid w:val="00B16560"/>
    <w:rsid w:val="00B216E5"/>
    <w:rsid w:val="00B22F1C"/>
    <w:rsid w:val="00B43B73"/>
    <w:rsid w:val="00B6366E"/>
    <w:rsid w:val="00B67435"/>
    <w:rsid w:val="00B85F2C"/>
    <w:rsid w:val="00BC5DEB"/>
    <w:rsid w:val="00C20A35"/>
    <w:rsid w:val="00C36771"/>
    <w:rsid w:val="00C806D8"/>
    <w:rsid w:val="00C826A2"/>
    <w:rsid w:val="00C83E34"/>
    <w:rsid w:val="00CC14FA"/>
    <w:rsid w:val="00CE1375"/>
    <w:rsid w:val="00CF00BF"/>
    <w:rsid w:val="00D15D3A"/>
    <w:rsid w:val="00D21FD8"/>
    <w:rsid w:val="00D555C3"/>
    <w:rsid w:val="00D96584"/>
    <w:rsid w:val="00E03D15"/>
    <w:rsid w:val="00E4170A"/>
    <w:rsid w:val="00E528C1"/>
    <w:rsid w:val="00E577A7"/>
    <w:rsid w:val="00E72C7D"/>
    <w:rsid w:val="00E80B09"/>
    <w:rsid w:val="00E9134E"/>
    <w:rsid w:val="00ED1DA1"/>
    <w:rsid w:val="00F10F09"/>
    <w:rsid w:val="00F1112B"/>
    <w:rsid w:val="00F3285E"/>
    <w:rsid w:val="00FC0CA6"/>
    <w:rsid w:val="00FC1801"/>
    <w:rsid w:val="00FF7F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2D1D91"/>
  <w14:defaultImageDpi w14:val="300"/>
  <w15:docId w15:val="{70C56250-6C59-3A4B-9870-62A392504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22C2"/>
    <w:rPr>
      <w:rFonts w:ascii="Cambria" w:eastAsia="Cambria" w:hAnsi="Cambria" w:cs="Cambria"/>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C6F62"/>
    <w:pPr>
      <w:tabs>
        <w:tab w:val="center" w:pos="4252"/>
        <w:tab w:val="right" w:pos="8504"/>
      </w:tabs>
    </w:pPr>
    <w:rPr>
      <w:rFonts w:asciiTheme="minorHAnsi" w:eastAsiaTheme="minorEastAsia" w:hAnsiTheme="minorHAnsi" w:cstheme="minorBidi"/>
      <w:lang w:eastAsia="es-ES"/>
    </w:rPr>
  </w:style>
  <w:style w:type="character" w:customStyle="1" w:styleId="EncabezadoCar">
    <w:name w:val="Encabezado Car"/>
    <w:basedOn w:val="Fuentedeprrafopredeter"/>
    <w:link w:val="Encabezado"/>
    <w:uiPriority w:val="99"/>
    <w:rsid w:val="005C6F62"/>
  </w:style>
  <w:style w:type="paragraph" w:styleId="Piedepgina">
    <w:name w:val="footer"/>
    <w:basedOn w:val="Normal"/>
    <w:link w:val="PiedepginaCar"/>
    <w:uiPriority w:val="99"/>
    <w:unhideWhenUsed/>
    <w:rsid w:val="005C6F62"/>
    <w:pPr>
      <w:tabs>
        <w:tab w:val="center" w:pos="4252"/>
        <w:tab w:val="right" w:pos="8504"/>
      </w:tabs>
    </w:pPr>
    <w:rPr>
      <w:rFonts w:asciiTheme="minorHAnsi" w:eastAsiaTheme="minorEastAsia" w:hAnsiTheme="minorHAnsi" w:cstheme="minorBidi"/>
      <w:lang w:eastAsia="es-ES"/>
    </w:rPr>
  </w:style>
  <w:style w:type="character" w:customStyle="1" w:styleId="PiedepginaCar">
    <w:name w:val="Pie de página Car"/>
    <w:basedOn w:val="Fuentedeprrafopredeter"/>
    <w:link w:val="Piedepgina"/>
    <w:uiPriority w:val="99"/>
    <w:rsid w:val="005C6F62"/>
  </w:style>
  <w:style w:type="paragraph" w:styleId="Textodeglobo">
    <w:name w:val="Balloon Text"/>
    <w:basedOn w:val="Normal"/>
    <w:link w:val="TextodegloboCar"/>
    <w:uiPriority w:val="99"/>
    <w:semiHidden/>
    <w:unhideWhenUsed/>
    <w:rsid w:val="005C6F6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5C6F62"/>
    <w:rPr>
      <w:rFonts w:ascii="Lucida Grande" w:hAnsi="Lucida Grande"/>
      <w:sz w:val="18"/>
      <w:szCs w:val="18"/>
    </w:rPr>
  </w:style>
  <w:style w:type="paragraph" w:styleId="Sinespaciado">
    <w:name w:val="No Spacing"/>
    <w:uiPriority w:val="1"/>
    <w:qFormat/>
    <w:rsid w:val="003F67B5"/>
  </w:style>
  <w:style w:type="character" w:styleId="Hipervnculo">
    <w:name w:val="Hyperlink"/>
    <w:basedOn w:val="Fuentedeprrafopredeter"/>
    <w:uiPriority w:val="99"/>
    <w:unhideWhenUsed/>
    <w:rsid w:val="00B07402"/>
    <w:rPr>
      <w:color w:val="0000FF" w:themeColor="hyperlink"/>
      <w:u w:val="single"/>
    </w:rPr>
  </w:style>
  <w:style w:type="character" w:styleId="Mencinsinresolver">
    <w:name w:val="Unresolved Mention"/>
    <w:basedOn w:val="Fuentedeprrafopredeter"/>
    <w:uiPriority w:val="99"/>
    <w:semiHidden/>
    <w:unhideWhenUsed/>
    <w:rsid w:val="00B0740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33229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B2EDA9-BD3C-994B-BA62-6603F57B0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Pages>
  <Words>995</Words>
  <Characters>5477</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 C</dc:creator>
  <cp:keywords/>
  <dc:description/>
  <cp:lastModifiedBy>karla.palacios</cp:lastModifiedBy>
  <cp:revision>4</cp:revision>
  <cp:lastPrinted>2024-01-23T22:52:00Z</cp:lastPrinted>
  <dcterms:created xsi:type="dcterms:W3CDTF">2024-05-17T19:16:00Z</dcterms:created>
  <dcterms:modified xsi:type="dcterms:W3CDTF">2024-05-30T16:01:00Z</dcterms:modified>
</cp:coreProperties>
</file>