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9502F5" w14:paraId="184198D1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536A2CA9" w14:textId="77777777" w:rsidR="00A01AB9" w:rsidRPr="009502F5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B403A9E" w14:textId="77777777" w:rsidR="00A01AB9" w:rsidRPr="009502F5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A159677" w14:textId="77777777" w:rsidR="00A01AB9" w:rsidRPr="009502F5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93A2F9F" w14:textId="77777777" w:rsidR="00A01AB9" w:rsidRPr="009502F5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9502F5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9502F5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9502F5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27904A4A" w14:textId="77777777" w:rsidR="00A01AB9" w:rsidRPr="009502F5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9502F5" w14:paraId="72B3655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57ED3D8" w14:textId="77777777" w:rsidR="009D62F2" w:rsidRPr="009502F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D91F2F0" w14:textId="77777777" w:rsidR="009D62F2" w:rsidRPr="009502F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321C97C" w14:textId="77777777" w:rsidR="009D62F2" w:rsidRPr="009502F5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23B9441" w14:textId="77777777" w:rsidR="009D62F2" w:rsidRPr="009502F5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9502F5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6743B1D0" w14:textId="77777777" w:rsidR="00A01AB9" w:rsidRPr="009502F5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9502F5" w14:paraId="34BA7B3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2B097877" w14:textId="77777777" w:rsidR="009D62F2" w:rsidRPr="009502F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255F4965" w14:textId="77777777" w:rsidR="009D62F2" w:rsidRPr="009502F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38F6B33" w14:textId="77777777" w:rsidR="0011211A" w:rsidRPr="009502F5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010769E" w14:textId="77777777" w:rsidR="009D62F2" w:rsidRPr="009502F5" w:rsidRDefault="00A13019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Cs/>
                <w:sz w:val="20"/>
                <w:szCs w:val="20"/>
              </w:rPr>
              <w:t>Inferencia Estadística I</w:t>
            </w:r>
          </w:p>
        </w:tc>
        <w:tc>
          <w:tcPr>
            <w:tcW w:w="426" w:type="dxa"/>
            <w:shd w:val="clear" w:color="auto" w:fill="auto"/>
          </w:tcPr>
          <w:p w14:paraId="52A3653D" w14:textId="77777777" w:rsidR="009D62F2" w:rsidRPr="009502F5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616FA6D5" w14:textId="77777777" w:rsidR="002651B4" w:rsidRPr="009502F5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36012C5" w14:textId="77777777" w:rsidR="009D62F2" w:rsidRPr="009502F5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67BCDDCA" w14:textId="77777777" w:rsidR="009D62F2" w:rsidRPr="009502F5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395807F" w14:textId="77777777" w:rsidR="002651B4" w:rsidRPr="009502F5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96F7A7B" w14:textId="43A881CB" w:rsidR="009D62F2" w:rsidRPr="009502F5" w:rsidRDefault="007D7622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CB75A0">
              <w:rPr>
                <w:rFonts w:ascii="Trebuchet MS" w:hAnsi="Trebuchet MS" w:cs="Arial"/>
                <w:bCs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</w:tr>
    </w:tbl>
    <w:p w14:paraId="71154E68" w14:textId="77777777" w:rsidR="009D62F2" w:rsidRPr="009502F5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9502F5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9502F5" w14:paraId="77F4177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596DE7C9" w14:textId="77777777" w:rsidR="009D62F2" w:rsidRPr="009502F5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861FB89" w14:textId="77777777" w:rsidR="009D62F2" w:rsidRPr="009502F5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1FB97BB" w14:textId="77777777" w:rsidR="009D62F2" w:rsidRPr="009502F5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BF8960E" w14:textId="77777777" w:rsidR="009D62F2" w:rsidRPr="009502F5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AA18EFA" w14:textId="77777777" w:rsidR="0058467A" w:rsidRPr="009502F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72F6B1E8" w14:textId="77777777" w:rsidR="0058467A" w:rsidRPr="009502F5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7D140E1C" w14:textId="77777777" w:rsidR="0058467A" w:rsidRPr="009502F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56E39B1" w14:textId="77777777" w:rsidR="0058467A" w:rsidRPr="009502F5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70A7F5F8" w14:textId="77777777" w:rsidR="0058467A" w:rsidRPr="009502F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76940D8C" w14:textId="77777777" w:rsidR="0058467A" w:rsidRPr="009502F5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8D8A7C6" w14:textId="77777777" w:rsidR="0058467A" w:rsidRPr="009502F5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1AA930C5" w14:textId="77777777" w:rsidR="0058467A" w:rsidRPr="009502F5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7C0C73C" w14:textId="77777777" w:rsidR="00DE6E9F" w:rsidRPr="009502F5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69A8488C" w14:textId="77777777" w:rsidR="009274FC" w:rsidRPr="009502F5" w:rsidRDefault="00ED584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/>
                <w:bCs/>
                <w:sz w:val="20"/>
                <w:szCs w:val="20"/>
              </w:rPr>
              <w:t>Eloísa Díaz Francés Murguía</w:t>
            </w:r>
          </w:p>
        </w:tc>
      </w:tr>
    </w:tbl>
    <w:p w14:paraId="6A346287" w14:textId="77777777" w:rsidR="001B5383" w:rsidRPr="009502F5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9502F5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9502F5" w14:paraId="2799C63C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6B4C775" w14:textId="77777777" w:rsidR="004B469C" w:rsidRPr="009502F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1054BB5C" w14:textId="77777777" w:rsidR="004B469C" w:rsidRPr="009502F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DA4629C" w14:textId="77777777" w:rsidR="004B469C" w:rsidRPr="009502F5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4667B843" w14:textId="77777777" w:rsidR="004B469C" w:rsidRPr="009502F5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414C805" w14:textId="77777777" w:rsidR="004B469C" w:rsidRPr="009502F5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7C4A2DF2" w14:textId="77777777" w:rsidR="004B469C" w:rsidRPr="009502F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4D19DB7" w14:textId="77777777" w:rsidR="004B469C" w:rsidRPr="009502F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89C589D" w14:textId="77777777" w:rsidR="004B469C" w:rsidRPr="009502F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9502F5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1003E6C" w14:textId="77777777" w:rsidR="004B469C" w:rsidRPr="009502F5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167A8B2" w14:textId="77777777" w:rsidR="004B469C" w:rsidRPr="009502F5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B158" w14:textId="77777777" w:rsidR="004B469C" w:rsidRPr="009502F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35036066" w14:textId="77777777" w:rsidR="004B469C" w:rsidRPr="009502F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5D960451" w14:textId="77777777" w:rsidR="004B469C" w:rsidRPr="009502F5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F307A68" w14:textId="77777777" w:rsidR="004B469C" w:rsidRPr="009502F5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1D4BF98" w14:textId="77777777" w:rsidR="004B469C" w:rsidRPr="009502F5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9C725ED" w14:textId="77777777" w:rsidR="004B469C" w:rsidRPr="009502F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806CAAB" w14:textId="77777777" w:rsidR="004B469C" w:rsidRPr="009502F5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9502F5" w14:paraId="67327007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156A38B" w14:textId="77777777" w:rsidR="004B469C" w:rsidRPr="009502F5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3CCEABC" w14:textId="77777777" w:rsidR="004B469C" w:rsidRPr="009502F5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755DC9A" w14:textId="77777777" w:rsidR="004B469C" w:rsidRPr="009502F5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63FCE386" w14:textId="77777777" w:rsidR="004B469C" w:rsidRPr="009502F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7B174E0" w14:textId="77777777" w:rsidR="004B469C" w:rsidRPr="009502F5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DDDB679" w14:textId="77777777" w:rsidR="004B469C" w:rsidRPr="009502F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DAE3EF5" w14:textId="77777777" w:rsidR="004B469C" w:rsidRPr="009502F5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50B238B6" w14:textId="77777777" w:rsidR="004B469C" w:rsidRPr="009502F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603673C2" w14:textId="77777777" w:rsidR="004B469C" w:rsidRPr="009502F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403CAEC" w14:textId="77777777" w:rsidR="004B469C" w:rsidRPr="009502F5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08C735C" w14:textId="77777777" w:rsidR="004B469C" w:rsidRPr="009502F5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1500B40E" w14:textId="77777777" w:rsidR="0058467A" w:rsidRPr="009502F5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9502F5" w14:paraId="117F5C3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57084C0F" w14:textId="77777777" w:rsidR="00B843AD" w:rsidRPr="009502F5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45AC685" w14:textId="77777777" w:rsidR="00B843AD" w:rsidRPr="009502F5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97ECBCF" w14:textId="77777777" w:rsidR="00085416" w:rsidRPr="009502F5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05DA8D3" w14:textId="77777777" w:rsidR="00B843AD" w:rsidRPr="009502F5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5422A4AE" w14:textId="77777777" w:rsidR="00B843AD" w:rsidRPr="009502F5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50149521" w14:textId="77777777" w:rsidR="00B843AD" w:rsidRPr="009502F5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40A9FEBC" w14:textId="77777777" w:rsidR="00B843AD" w:rsidRPr="009502F5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549E53C7" w14:textId="77777777" w:rsidR="00B843AD" w:rsidRPr="009502F5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900DF32" w14:textId="77777777" w:rsidR="00B843AD" w:rsidRPr="009502F5" w:rsidRDefault="00ED584C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502F5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5E0104F7" w14:textId="77777777" w:rsidR="009D62F2" w:rsidRPr="009502F5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9502F5" w14:paraId="6F5ACDDD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68285BE8" w14:textId="4806B1C1" w:rsidR="004B469C" w:rsidRPr="009502F5" w:rsidRDefault="00373664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9502F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9502F5" w14:paraId="140DBD3C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8776C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9502F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502F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9502F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502F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9502F5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502F5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9502F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9502F5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9502F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9502F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92A1F82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79DB0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9502F5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F392C26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8506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E7EFB23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56440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D2DF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502F5" w14:paraId="4B25AF1B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2162F6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9502F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502F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9502F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9502F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1DE721A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9502F5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9502F5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DCC174E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9A6C63B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E0F966E" w14:textId="77777777" w:rsidR="004B469C" w:rsidRPr="009502F5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70AE15D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077479BE" w14:textId="77777777" w:rsidR="004B469C" w:rsidRPr="009502F5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1A6F100B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31C73B4E" w14:textId="77777777" w:rsidR="004B469C" w:rsidRPr="009502F5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9502F5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33AF9D9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9502F5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88FE3DB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53252339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2C5134E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9502F5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69C1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F2009D3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9502F5" w14:paraId="7B6736B2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BB7546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58EEFCC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9502F5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7923834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F830D96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11AD2683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AAB1C2C" w14:textId="77777777" w:rsidR="004B469C" w:rsidRPr="009502F5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164A0BF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C779448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2806047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1FA60A2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DC59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502F5" w14:paraId="54087F53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A3EE1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9502F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9502F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9502F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9502F5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9502F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9502F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9502F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9502F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9502F5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9502F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9502F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9502F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9502F5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9502F5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9502F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502F5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3B3B0D17" w14:textId="77777777" w:rsidR="004B469C" w:rsidRPr="009502F5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9502F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9502F5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9502F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9502F5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9502F5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9502F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9502F5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9502F5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371EC8B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C6B63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3A00751B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9502F5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E9952DE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CE21F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584B8013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37D374F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FCCCE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A20E562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C5AF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9502F5" w14:paraId="699F8384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96832" w14:textId="67B616F3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9502F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9502F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9502F5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9502F5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9502F5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9502F5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9502F5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373664" w:rsidRPr="009502F5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9502F5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4EF2639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A2D4D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6C8BF96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AA473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C33AA24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30329" w14:textId="77777777" w:rsidR="004B469C" w:rsidRPr="009502F5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9502F5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6D4529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32D1A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0E63E5A" w14:textId="77777777" w:rsidR="004B469C" w:rsidRPr="009502F5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B892" w14:textId="77777777" w:rsidR="004B469C" w:rsidRPr="009502F5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27854DEC" w14:textId="77777777" w:rsidR="004B469C" w:rsidRPr="009502F5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9502F5" w14:paraId="258748BF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00B30F3" w14:textId="77777777" w:rsidR="006F74C5" w:rsidRPr="009502F5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861A86E" w14:textId="77777777" w:rsidR="006F74C5" w:rsidRPr="009502F5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9502F5" w14:paraId="204D2FA1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1FE977C" w14:textId="77777777" w:rsidR="006F74C5" w:rsidRPr="009502F5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F06508E" w14:textId="77777777" w:rsidR="00DE6E9F" w:rsidRPr="009502F5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9502F5" w14:paraId="4FFBD5D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C28F75F" w14:textId="77777777" w:rsidR="00DD5835" w:rsidRPr="009502F5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AA6E714" w14:textId="77777777" w:rsidR="00DD5835" w:rsidRPr="009502F5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9502F5" w14:paraId="1956C050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B4852D5" w14:textId="77777777" w:rsidR="00DD5835" w:rsidRPr="009502F5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09E7D28" w14:textId="77777777" w:rsidR="00F14ECA" w:rsidRPr="009502F5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0B346830" w14:textId="77777777" w:rsidR="00F14ECA" w:rsidRPr="009502F5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48DA844" w14:textId="77777777" w:rsidR="00F14ECA" w:rsidRPr="009502F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502F5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9502F5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797D26B2" w14:textId="77777777" w:rsidR="00F14ECA" w:rsidRPr="009502F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9502F5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9502F5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9502F5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51426D61" w14:textId="77777777" w:rsidR="00F14ECA" w:rsidRPr="009502F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7C6AFFAC" w14:textId="77777777" w:rsidR="00F14ECA" w:rsidRPr="009502F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FDF56BB" w14:textId="77777777" w:rsidR="00F14ECA" w:rsidRPr="009502F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260F177B" w14:textId="77777777" w:rsidR="00AD7DF5" w:rsidRPr="009502F5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C049177" w14:textId="18A811F3" w:rsidR="00AD7DF5" w:rsidRPr="009502F5" w:rsidRDefault="0058280B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9502F5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64D5C85" w14:textId="77777777" w:rsidR="00AD7DF5" w:rsidRPr="009502F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464D4F" w:rsidRPr="009502F5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9502F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96E0C5E" w14:textId="77777777" w:rsidR="0058280B" w:rsidRDefault="0058280B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9502F5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469F9C5A" w14:textId="2DDD3343" w:rsidR="00AD7DF5" w:rsidRPr="009502F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464D4F" w:rsidRPr="009502F5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9502F5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743DF92A" w14:textId="77777777" w:rsidR="00AD7DF5" w:rsidRPr="009502F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088CC39C" w14:textId="77777777" w:rsidR="00AD7DF5" w:rsidRPr="009502F5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9502F5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9502F5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1B38FB2F" w14:textId="77777777" w:rsidR="000671FE" w:rsidRPr="009502F5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740906CC" w14:textId="77777777" w:rsidR="00AB7E79" w:rsidRPr="009502F5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9502F5" w14:paraId="4B53E70E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01C8ED0" w14:textId="77777777" w:rsidR="009A7603" w:rsidRPr="009502F5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29F7B8E" w14:textId="77777777" w:rsidR="009A7603" w:rsidRPr="009502F5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9502F5" w14:paraId="347F2AE7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CD3D036" w14:textId="77777777" w:rsidR="00F14ECA" w:rsidRPr="009502F5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9B6F7C7" w14:textId="2FBE73A7" w:rsidR="007E0B92" w:rsidRPr="009502F5" w:rsidRDefault="007E0B92" w:rsidP="007E0B92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9502F5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9502F5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9502F5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Inferencia Estadística para aplicarlos en la resolución de problemas de distintas áreas de las matemáticas. </w:t>
            </w:r>
          </w:p>
          <w:p w14:paraId="1B4C5334" w14:textId="77777777" w:rsidR="007E0B92" w:rsidRPr="009502F5" w:rsidRDefault="007E0B92" w:rsidP="007E0B92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A20B76C" w14:textId="77777777" w:rsidR="007E0B92" w:rsidRPr="009502F5" w:rsidRDefault="007E0B92" w:rsidP="007E0B92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9502F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9502F5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9502F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9502F5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342999A7" w14:textId="77777777" w:rsidR="007E0B92" w:rsidRPr="009502F5" w:rsidRDefault="007E0B92" w:rsidP="007E0B92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AF87954" w14:textId="64414799" w:rsidR="007E0B92" w:rsidRPr="009502F5" w:rsidRDefault="007E0B92" w:rsidP="007E0B92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9502F5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Probabilidad y Estadística</w:t>
            </w:r>
          </w:p>
          <w:p w14:paraId="7AC2F1BC" w14:textId="23DE1421" w:rsidR="00F14ECA" w:rsidRPr="009502F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  <w:p w14:paraId="23C0BF7F" w14:textId="77777777" w:rsidR="00F14ECA" w:rsidRPr="009502F5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9502F5" w14:paraId="60DDDDEB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D9DA980" w14:textId="77777777" w:rsidR="00F14ECA" w:rsidRPr="009502F5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747C5536" w14:textId="77777777" w:rsidR="00F14ECA" w:rsidRPr="009502F5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9502F5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9502F5" w14:paraId="569A78E9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3A977064" w14:textId="77777777" w:rsidR="00924B7C" w:rsidRPr="009502F5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EBF7502" w14:textId="509ECF59" w:rsidR="00ED584C" w:rsidRPr="009502F5" w:rsidRDefault="00ED584C" w:rsidP="00ED584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sz w:val="18"/>
                <w:szCs w:val="18"/>
              </w:rPr>
              <w:t>Da una cultura general sobre el razonamiento inductivo-deductivo y conceptos básicos de la Inferencia Estadística, destacando el ámbito científico para analizar fenómenos naturales repetibles.</w:t>
            </w:r>
          </w:p>
          <w:p w14:paraId="71F8AEE8" w14:textId="56A9F915" w:rsidR="00ED584C" w:rsidRPr="009502F5" w:rsidRDefault="007E0B92" w:rsidP="00ED584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sz w:val="18"/>
                <w:szCs w:val="18"/>
              </w:rPr>
              <w:t>Describe</w:t>
            </w:r>
            <w:r w:rsidR="00ED584C" w:rsidRPr="009502F5">
              <w:rPr>
                <w:rFonts w:ascii="Trebuchet MS" w:hAnsi="Trebuchet MS" w:cs="Arial"/>
                <w:b/>
                <w:bCs/>
                <w:sz w:val="18"/>
                <w:szCs w:val="18"/>
              </w:rPr>
              <w:t>, discute y aplica a diversos problemas reales el proceso de modelación estadística: Sugiere, estima y valida un modelo estadístico para describir adecuadamente un fenómeno repetible de interés, modificando el modelo si fuese necesario y repitiendo este proceso hasta “converger” al mejor modelo para el fenómeno, (Box, 1980).</w:t>
            </w:r>
          </w:p>
          <w:p w14:paraId="6C5AEAAC" w14:textId="77777777" w:rsidR="00ED584C" w:rsidRPr="009502F5" w:rsidRDefault="00ED584C" w:rsidP="00ED584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sz w:val="18"/>
                <w:szCs w:val="18"/>
              </w:rPr>
              <w:t>Presenta el problema general de estimación de parámetros de modelos estadísticos paramétricos, desarrollando para ello conceptos básicos relevantes de teoría estadística.</w:t>
            </w:r>
          </w:p>
          <w:p w14:paraId="76E9B401" w14:textId="77777777" w:rsidR="00ED584C" w:rsidRPr="009502F5" w:rsidRDefault="00ED584C" w:rsidP="00ED584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sz w:val="18"/>
                <w:szCs w:val="18"/>
              </w:rPr>
              <w:t>Distingue la diferencia entre las situaciones que requieren probar hipótesis y en las que se necesita estimar parámetros en el proceso de modelación estadística.</w:t>
            </w:r>
          </w:p>
          <w:p w14:paraId="7EAB7D60" w14:textId="77777777" w:rsidR="00ED584C" w:rsidRPr="009502F5" w:rsidRDefault="00ED584C" w:rsidP="00ED584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sz w:val="18"/>
                <w:szCs w:val="18"/>
              </w:rPr>
              <w:t>Desarrolla las habilidades computacionales del estudiante para fortalecer el conocimiento aprendido en la gran mayoría de los temas tratados en el temario.</w:t>
            </w:r>
          </w:p>
          <w:p w14:paraId="13F5C530" w14:textId="77777777" w:rsidR="00F14ECA" w:rsidRPr="009502F5" w:rsidRDefault="00F14ECA" w:rsidP="00ED584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7F1D5E81" w14:textId="77777777" w:rsidR="0022722B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312A3FD" w14:textId="77777777" w:rsidR="009502F5" w:rsidRDefault="009502F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D29C22D" w14:textId="77777777" w:rsidR="009502F5" w:rsidRDefault="009502F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60B2B11" w14:textId="77777777" w:rsidR="009502F5" w:rsidRDefault="009502F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57FF92D" w14:textId="77777777" w:rsidR="009502F5" w:rsidRPr="009502F5" w:rsidRDefault="009502F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9502F5" w14:paraId="25443F5F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4BF6F3B" w14:textId="77777777" w:rsidR="00582341" w:rsidRPr="009502F5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F1AE15B" w14:textId="77777777" w:rsidR="00582341" w:rsidRPr="009502F5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9502F5" w14:paraId="0242F7F5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63FD4C9" w14:textId="77777777" w:rsidR="00F14ECA" w:rsidRPr="009502F5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19D3027B" w14:textId="77777777" w:rsidR="00ED584C" w:rsidRPr="009502F5" w:rsidRDefault="00ED584C" w:rsidP="00ED584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Introducción a la modelación estadística y al razonamiento inductivo. Objetivos de la modelación estadística. Modelos probabilísticos y estadísticos, relación y diferencias; ejemplos. Modelos paramétricos y no paramétricos. Familias de distribuciones más importantes. La ciencia y la importancia de la Estadística en ella. [Box, 1980; Capítulo 1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Sprott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; Capítulos 1-3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Sagan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>] [1 semana]</w:t>
            </w:r>
          </w:p>
          <w:p w14:paraId="4F12EBE5" w14:textId="77777777" w:rsidR="00ED584C" w:rsidRPr="009502F5" w:rsidRDefault="00ED584C" w:rsidP="00ED584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Introducción a pruebas de hipótesis y su rol en la validación de modelos.  Conceptos básicos. Uso adecuado de p-valores. [Capítulo 6,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Sprott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] [1 semana] Gráficas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cuantil-cuantil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. Prueba Ji-Cuadrada de Pearson para validar modelos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multinomiales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3F08769" w14:textId="77777777" w:rsidR="00ED584C" w:rsidRPr="009502F5" w:rsidRDefault="00ED584C" w:rsidP="00ED584C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Conceptos fundamentales de estimación en la modelación estadística. </w:t>
            </w:r>
          </w:p>
          <w:p w14:paraId="5D878B1A" w14:textId="77777777" w:rsidR="0079280D" w:rsidRPr="009502F5" w:rsidRDefault="00ED584C" w:rsidP="00ED584C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La función de verosimilitud completa de los parámetros de un modelo estadístico y sus propiedades. [2 semanas]. </w:t>
            </w:r>
          </w:p>
          <w:p w14:paraId="33F05AFC" w14:textId="77777777" w:rsidR="00ED584C" w:rsidRPr="009502F5" w:rsidRDefault="00ED584C" w:rsidP="0079280D">
            <w:pPr>
              <w:pStyle w:val="ListParagraph"/>
              <w:widowControl w:val="0"/>
              <w:autoSpaceDE w:val="0"/>
              <w:spacing w:before="35" w:after="0"/>
              <w:ind w:left="108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El estimador de máxima verosimilitud (EMV). La función de verosimilitud relativa como estandarización de la verosimilitud y su interpretación en términos de simetría, localización, dispersión y rango de valores del parámetro con plausibilidad. Regiones e intervalos de verosimilitud y su interpretación.  Exploración analítica de la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verosimlitud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 relativa a través de su expansión en series de Taylor alrededor del EMV. La información observada de Fisher, su rol substancial en la expansión en series de Taylor de la verosimilitud y en la forma de ésta; contraste con la información esperada de Fisher. Aproximaciones normales a la verosimilitud. (Este desarrollo servirá de base para las ideas que se verán en temas posteriores, de manera especial en el tema 6 y para el curso de Estadística Matemática) [Capítulo 9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Kalbfleisch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Pawitan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]. </w:t>
            </w:r>
          </w:p>
          <w:p w14:paraId="26DF36A9" w14:textId="77777777" w:rsidR="00ED584C" w:rsidRPr="009502F5" w:rsidRDefault="00ED584C" w:rsidP="00ED584C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>Suficiencia. [1 ½ semanas]</w:t>
            </w:r>
            <w:r w:rsidR="0079280D" w:rsidRPr="009502F5">
              <w:rPr>
                <w:rFonts w:ascii="Trebuchet MS" w:hAnsi="Trebuchet MS" w:cs="Arial"/>
                <w:bCs/>
                <w:sz w:val="18"/>
              </w:rPr>
              <w:t>.</w:t>
            </w:r>
            <w:r w:rsidRPr="009502F5">
              <w:rPr>
                <w:rFonts w:ascii="Trebuchet MS" w:hAnsi="Trebuchet MS" w:cs="Arial"/>
                <w:bCs/>
                <w:sz w:val="18"/>
              </w:rPr>
              <w:t xml:space="preserve"> Identificación de estadísticas suficientes a partir de la función de verosimilitud. El Teorema de Factorización de Fisher. Propiedades de estadísticas suficientes. Relación del concepto de suficiencia con la familia exponencial y con la familia de localización y escala. [Secciones 15.1 y 15.2,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Kalbfleisch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>].</w:t>
            </w:r>
          </w:p>
          <w:p w14:paraId="5C40C550" w14:textId="77777777" w:rsidR="00ED584C" w:rsidRPr="009502F5" w:rsidRDefault="00ED584C" w:rsidP="00ED584C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>Consistencia. Definición e importancia. (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Serfling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>). [1/2 semana].</w:t>
            </w:r>
          </w:p>
          <w:p w14:paraId="3BDE78B0" w14:textId="77777777" w:rsidR="0079280D" w:rsidRPr="009502F5" w:rsidRDefault="00ED584C" w:rsidP="00ED584C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Estimación puntual adicional al EMV.  [1 semana]. </w:t>
            </w:r>
          </w:p>
          <w:p w14:paraId="60C8BD9E" w14:textId="77777777" w:rsidR="0079280D" w:rsidRPr="009502F5" w:rsidRDefault="00ED584C" w:rsidP="0079280D">
            <w:pPr>
              <w:pStyle w:val="ListParagraph"/>
              <w:widowControl w:val="0"/>
              <w:autoSpaceDE w:val="0"/>
              <w:spacing w:before="35" w:after="0"/>
              <w:ind w:left="108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>Estimadores de momentos. Estimador de mínima Ji-cuadrada (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Mood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Graybill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 y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Boes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). Necesidad de criterios de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optimalidad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 para seleccionar estimadores; ventajas y desventajas del error cuadrático medio como criterio. Propiedades deseables de estimadores: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insesgamiento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 asintótico, consistencia y eficiencia. </w:t>
            </w:r>
          </w:p>
          <w:p w14:paraId="101F53C2" w14:textId="77777777" w:rsidR="00ED584C" w:rsidRPr="009502F5" w:rsidRDefault="00ED584C" w:rsidP="0079280D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>Estimación por intervalo de un parámetro de interés. [4 semanas]</w:t>
            </w:r>
            <w:r w:rsidR="0079280D" w:rsidRPr="009502F5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CDCE889" w14:textId="77777777" w:rsidR="0079280D" w:rsidRPr="009502F5" w:rsidRDefault="00ED584C" w:rsidP="0079280D">
            <w:pPr>
              <w:pStyle w:val="ListParagraph"/>
              <w:widowControl w:val="0"/>
              <w:numPr>
                <w:ilvl w:val="2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Intervalos aleatorios y probabilidades de cobertura. </w:t>
            </w:r>
          </w:p>
          <w:p w14:paraId="61D185F1" w14:textId="77777777" w:rsidR="0079280D" w:rsidRPr="009502F5" w:rsidRDefault="00ED584C" w:rsidP="0079280D">
            <w:pPr>
              <w:pStyle w:val="ListParagraph"/>
              <w:widowControl w:val="0"/>
              <w:numPr>
                <w:ilvl w:val="2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Intervalos de confianza para un parámetro. Uso de cantidades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pivotales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 para construcción de intervalos de confianza. </w:t>
            </w:r>
          </w:p>
          <w:p w14:paraId="3E0C54E7" w14:textId="77777777" w:rsidR="0079280D" w:rsidRPr="009502F5" w:rsidRDefault="00ED584C" w:rsidP="0079280D">
            <w:pPr>
              <w:pStyle w:val="ListParagraph"/>
              <w:widowControl w:val="0"/>
              <w:numPr>
                <w:ilvl w:val="2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Propiedades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frecuentistas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 de la función de verosimilitud e intervalos de verosimilitud-confianza para el parámetro de interés. Algunos procedimientos de obtención que involucran cantidades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pivotales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: a) a través de la aproximación normal a la verosimilitud, b) a través de la aproximación Ji-cuadrada para la distribución del negativo del doble </w:t>
            </w:r>
            <w:proofErr w:type="gramStart"/>
            <w:r w:rsidRPr="009502F5">
              <w:rPr>
                <w:rFonts w:ascii="Trebuchet MS" w:hAnsi="Trebuchet MS" w:cs="Arial"/>
                <w:bCs/>
                <w:sz w:val="18"/>
              </w:rPr>
              <w:t>de la log</w:t>
            </w:r>
            <w:proofErr w:type="gramEnd"/>
            <w:r w:rsidRPr="009502F5">
              <w:rPr>
                <w:rFonts w:ascii="Trebuchet MS" w:hAnsi="Trebuchet MS" w:cs="Arial"/>
                <w:bCs/>
                <w:sz w:val="18"/>
              </w:rPr>
              <w:t xml:space="preserve"> razón de verosimilitud. Ejemplos.</w:t>
            </w:r>
          </w:p>
          <w:p w14:paraId="7A220066" w14:textId="77777777" w:rsidR="0079280D" w:rsidRPr="009502F5" w:rsidRDefault="00ED584C" w:rsidP="0079280D">
            <w:pPr>
              <w:pStyle w:val="ListParagraph"/>
              <w:widowControl w:val="0"/>
              <w:numPr>
                <w:ilvl w:val="2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Consecuencias de la asimetría de la verosimilitud en las inferencias sobre el parámetro de interés.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Reparametrizaciones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 para eliminar esta asimetría cuando se </w:t>
            </w:r>
            <w:proofErr w:type="gramStart"/>
            <w:r w:rsidRPr="009502F5">
              <w:rPr>
                <w:rFonts w:ascii="Trebuchet MS" w:hAnsi="Trebuchet MS" w:cs="Arial"/>
                <w:bCs/>
                <w:sz w:val="18"/>
              </w:rPr>
              <w:t>presente  para</w:t>
            </w:r>
            <w:proofErr w:type="gramEnd"/>
            <w:r w:rsidRPr="009502F5">
              <w:rPr>
                <w:rFonts w:ascii="Trebuchet MS" w:hAnsi="Trebuchet MS" w:cs="Arial"/>
                <w:bCs/>
                <w:sz w:val="18"/>
              </w:rPr>
              <w:t xml:space="preserve"> facilitar encontrar intervalos de estimación de mayor precisión, usando la propiedad de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invarianza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 de la verosimilitud. </w:t>
            </w:r>
          </w:p>
          <w:p w14:paraId="05764B22" w14:textId="77777777" w:rsidR="00ED584C" w:rsidRPr="009502F5" w:rsidRDefault="00ED584C" w:rsidP="0079280D">
            <w:pPr>
              <w:pStyle w:val="ListParagraph"/>
              <w:widowControl w:val="0"/>
              <w:numPr>
                <w:ilvl w:val="2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Comparación e importancia de las propiedades de verosimilitud y de confianza de un intervalo de estimación.  [Capítulo 11 de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Kalbfleisch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].  </w:t>
            </w:r>
          </w:p>
          <w:p w14:paraId="262D176B" w14:textId="77777777" w:rsidR="00ED584C" w:rsidRPr="009502F5" w:rsidRDefault="00ED584C" w:rsidP="0079280D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 Modelos estadísticos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multiparamétricos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>. [2 semanas]</w:t>
            </w:r>
            <w:r w:rsidR="0079280D" w:rsidRPr="009502F5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AE822F6" w14:textId="77777777" w:rsidR="00ED584C" w:rsidRPr="009502F5" w:rsidRDefault="00ED584C" w:rsidP="0079280D">
            <w:pPr>
              <w:pStyle w:val="ListParagraph"/>
              <w:widowControl w:val="0"/>
              <w:numPr>
                <w:ilvl w:val="1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>El problema de estimación por separado de parámetros de interés en presencia de parámetros de estorbo. La función de verosimilitud perfil y otras posibilidades como la verosimilitud marginal y la condicional (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Pawitan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2001,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Sprott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2000).  </w:t>
            </w:r>
          </w:p>
          <w:p w14:paraId="26920EF6" w14:textId="77777777" w:rsidR="00ED584C" w:rsidRPr="009502F5" w:rsidRDefault="00ED584C" w:rsidP="0079280D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>Comparación y selección de modelos estadísticos paramétricos. [1 semana]</w:t>
            </w:r>
          </w:p>
          <w:p w14:paraId="4C54B3CE" w14:textId="77777777" w:rsidR="00ED584C" w:rsidRPr="009502F5" w:rsidRDefault="00ED584C" w:rsidP="0079280D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 La razón de verosimilitud como herramienta de comparación para modelos anidados y no anidados. Pruebas de hipótesis asociadas en el caso de modelos anidados. El criterio de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Akaike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. Ejemplos. [Cox y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Hinkley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1973; Capítulo 11 de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Kalbfleisch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;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Pawitan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Capítulo 3]. </w:t>
            </w:r>
          </w:p>
          <w:p w14:paraId="6882C7C4" w14:textId="77777777" w:rsidR="00ED584C" w:rsidRPr="009502F5" w:rsidRDefault="00ED584C" w:rsidP="0079280D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lastRenderedPageBreak/>
              <w:t>Estimación de parámetros usando propiedades asintóticas de los estimadores de máxima verosimilitud y de momentos. [2 semanas]</w:t>
            </w:r>
            <w:r w:rsidR="0079280D" w:rsidRPr="009502F5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C36938D" w14:textId="77777777" w:rsidR="00477F1D" w:rsidRPr="009502F5" w:rsidRDefault="00ED584C" w:rsidP="0079280D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</w:rPr>
              <w:t xml:space="preserve">Situaciones en las que este procedimiento es razonable. Propiedades asintóticas de estimadores: a)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Insesgamiento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 [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Kalbfleisch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Sección 11.7]. b) Consistencia. Cota para la varianza de estimadores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insesgados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; desigualdad de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Cramer-Rao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>. [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Serflng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y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Mood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Graybill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 y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Boes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>]. Propiedades asintóticas del EMV como estimador puntual: Aplicaciones del Teorema de máxima verosimilitud (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Serling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>; la demostración se esbozará en el curso de Estadística Matemática). Propiedades asintóticas del estimador de momentos.: (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Serfling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). </w:t>
            </w:r>
          </w:p>
          <w:p w14:paraId="54C770E6" w14:textId="77777777" w:rsidR="0079280D" w:rsidRPr="009502F5" w:rsidRDefault="0079280D" w:rsidP="0079280D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5E2F21A8" w14:textId="77777777" w:rsidR="006D2CC8" w:rsidRPr="009502F5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12B17F4" w14:textId="77777777" w:rsidR="009122A2" w:rsidRPr="009502F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D42C806" w14:textId="77777777" w:rsidR="009122A2" w:rsidRPr="009502F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6008CF6" w14:textId="77777777" w:rsidR="009122A2" w:rsidRPr="009502F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E2C79BB" w14:textId="77777777" w:rsidR="009122A2" w:rsidRPr="009502F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B46D5E5" w14:textId="77777777" w:rsidR="009122A2" w:rsidRPr="009502F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7889FAA" w14:textId="77777777" w:rsidR="009122A2" w:rsidRPr="009502F5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9502F5" w14:paraId="0479DC13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F61FEC4" w14:textId="77777777" w:rsidR="00C349A7" w:rsidRPr="009502F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77A662" w14:textId="77777777" w:rsidR="00C349A7" w:rsidRPr="009502F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236B6C6" w14:textId="77777777" w:rsidR="00C349A7" w:rsidRPr="009502F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80E941C" w14:textId="77777777" w:rsidR="00C349A7" w:rsidRPr="009502F5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4254C944" w14:textId="77777777" w:rsidR="00C349A7" w:rsidRPr="009502F5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9BA2067" w14:textId="77777777" w:rsidR="00C349A7" w:rsidRPr="009502F5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9502F5" w14:paraId="56B6D636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1FC7169" w14:textId="77777777" w:rsidR="00C349A7" w:rsidRPr="009502F5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502F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C979EF0" w14:textId="77777777" w:rsidR="00C349A7" w:rsidRPr="009502F5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3FB93634" w14:textId="77777777" w:rsidR="00981102" w:rsidRPr="009502F5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3F613AA3" w14:textId="77777777" w:rsidR="00C349A7" w:rsidRPr="009502F5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9502F5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10135F93" w14:textId="77777777" w:rsidR="00567A66" w:rsidRPr="009502F5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52465481" w14:textId="77777777" w:rsidR="000A6CED" w:rsidRPr="009502F5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6F24CB5A" w14:textId="77777777" w:rsidR="00C349A7" w:rsidRPr="009502F5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719A2A83" w14:textId="77777777" w:rsidR="00C349A7" w:rsidRPr="009502F5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25DD64E" w14:textId="77777777" w:rsidR="00C349A7" w:rsidRPr="009502F5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9502F5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9502F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4F34BC6" w14:textId="77777777" w:rsidR="00567A66" w:rsidRPr="009502F5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24AEB1D0" w14:textId="77777777" w:rsidR="00981102" w:rsidRPr="009502F5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9502F5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9502F5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5CE84BF5" w14:textId="77777777" w:rsidR="00C349A7" w:rsidRPr="009502F5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9502F5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9502F5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3F44B826" w14:textId="77777777" w:rsidR="00280225" w:rsidRPr="009502F5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9502F5" w14:paraId="37520816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A595E2C" w14:textId="77777777" w:rsidR="00407B5C" w:rsidRPr="009502F5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17EAC0D" w14:textId="77777777" w:rsidR="00407B5C" w:rsidRPr="009502F5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39B6868" w14:textId="77777777" w:rsidR="00407B5C" w:rsidRPr="009502F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0C013706" w14:textId="77777777" w:rsidR="00407B5C" w:rsidRPr="009502F5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5A8A178" w14:textId="77777777" w:rsidR="00407B5C" w:rsidRPr="009502F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1474C96" w14:textId="77777777" w:rsidR="00407B5C" w:rsidRPr="009502F5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9502F5" w14:paraId="546CC3A5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10CF58E" w14:textId="77777777" w:rsidR="00407B5C" w:rsidRPr="009502F5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502F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9351FF4" w14:textId="77777777" w:rsidR="00407B5C" w:rsidRPr="009502F5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1617A58A" w14:textId="77777777" w:rsidR="008D7410" w:rsidRPr="009502F5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9502F5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9502F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4366711" w14:textId="77777777" w:rsidR="003D1263" w:rsidRPr="009502F5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9502F5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61CB909" w14:textId="77777777" w:rsidR="00407B5C" w:rsidRPr="009502F5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9502F5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6F38183" w14:textId="77777777" w:rsidR="00BB39FD" w:rsidRPr="009502F5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66BC4000" w14:textId="77777777" w:rsidR="00BB39FD" w:rsidRPr="009502F5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EF02FCB" w14:textId="77777777" w:rsidR="00BB39FD" w:rsidRPr="009502F5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3F6658E3" w14:textId="77777777" w:rsidR="00AF739A" w:rsidRPr="009502F5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B9A8035" w14:textId="77777777" w:rsidR="006D2CC8" w:rsidRPr="009502F5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1356758" w14:textId="77777777" w:rsidR="00731BA4" w:rsidRPr="009502F5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9502F5" w14:paraId="7F0C8F82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18CA58A3" w14:textId="77777777" w:rsidR="000A6CED" w:rsidRPr="009502F5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5B72B80" w14:textId="77777777" w:rsidR="000A6CED" w:rsidRPr="009502F5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9502F5" w14:paraId="2C17680B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FEA6F68" w14:textId="77777777" w:rsidR="00AD4053" w:rsidRPr="009502F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7FC0A1F3" w14:textId="77777777" w:rsidR="00AD4053" w:rsidRPr="009502F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C11D7D2" w14:textId="77777777" w:rsidR="00AD4053" w:rsidRPr="009502F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3916688" w14:textId="77777777" w:rsidR="00AD4053" w:rsidRPr="009502F5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502F5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CB75A0" w14:paraId="68EF6DB0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18FF328F" w14:textId="77777777" w:rsidR="003F599D" w:rsidRPr="009502F5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1435325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Box, G. E. P. (1980). Sampling and Bayes’ Inference in Scientific Modelling and Robustness. JRSS, Series A, V.143, No. 4. pp. 383-430.</w:t>
            </w:r>
          </w:p>
          <w:p w14:paraId="5ED978F3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Box y </w:t>
            </w:r>
            <w:proofErr w:type="spellStart"/>
            <w:proofErr w:type="gram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Tiao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.(</w:t>
            </w:r>
            <w:proofErr w:type="gram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1992).  Bayesian Inference in Statistical Analysis. Nueva York, John Wiley.</w:t>
            </w:r>
          </w:p>
          <w:p w14:paraId="5801D931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Kalbfleisch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, J. G. (1985). Probability and Statistical Inference. Vol. 2. Springer-Verlag.</w:t>
            </w:r>
          </w:p>
          <w:p w14:paraId="59F6219D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Roussas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, G. G. (1997). A Course in Mathematical Statistics. Academic Press.</w:t>
            </w:r>
          </w:p>
          <w:p w14:paraId="527464B1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Mood, A. M.,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Graybill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, A. F. y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Boes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, D. (1974). Introduction to the Theory of Statistics. Mc Graw Hill.</w:t>
            </w:r>
          </w:p>
          <w:p w14:paraId="5647C047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lastRenderedPageBreak/>
              <w:t>Hogg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R. V. y Craig, A. T. (1978). </w:t>
            </w:r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Introduction to Mathematical Statistics. Collier Mac Millan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Internacional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 Editions.</w:t>
            </w:r>
          </w:p>
          <w:p w14:paraId="19A845CD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Pawitan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, Y. (2001). </w:t>
            </w:r>
            <w:proofErr w:type="gram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In All Likelihood</w:t>
            </w:r>
            <w:proofErr w:type="gram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. Statistical Modeling and Inference Using Likelihood. Oxford: Oxford Science Publications.</w:t>
            </w:r>
          </w:p>
          <w:p w14:paraId="678A936D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Sagan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Carl (1995). El mundo y sus demonios. La ciencia como una luz en la oscuridad. </w:t>
            </w:r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México: Editorial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Planeta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4A46A127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Sprott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, D. A. (2000). Statistical Inference in Science. Springer-Verlag.</w:t>
            </w:r>
          </w:p>
          <w:p w14:paraId="12A125DE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Sprott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, D. A. (2004</w:t>
            </w:r>
            <w:proofErr w:type="gram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).What</w:t>
            </w:r>
            <w:proofErr w:type="gram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 is Optimality in Scientific Inference?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en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 Institute of Mathematical Statistics Lecture Notes, V. 44.</w:t>
            </w:r>
          </w:p>
          <w:p w14:paraId="4B36812D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Evans, M., Hastings, N. y Peacock, B. (1993). Statistical Distributions. John Wiley &amp; Sons.</w:t>
            </w:r>
          </w:p>
          <w:p w14:paraId="050678CA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Edwards, A. W. F. (1992). Likelihood. Johns Hopkins.</w:t>
            </w:r>
          </w:p>
          <w:p w14:paraId="64547DE6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Cox, D.R., and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Hinkley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, D.V. (1973), Theoretical Statistics, Chapman and Hall.</w:t>
            </w:r>
          </w:p>
          <w:p w14:paraId="186EDA51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Serfling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, R. (1980). Approximation Theorems of Mathematical Statistics, Wiley.</w:t>
            </w:r>
          </w:p>
          <w:p w14:paraId="6FBA0F45" w14:textId="77777777" w:rsidR="0079280D" w:rsidRPr="009502F5" w:rsidRDefault="0079280D" w:rsidP="0079280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Kalbfleisch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, J. G. (1985). Probability and Statistical Inference. Vol. 1. Springer-Verlag.</w:t>
            </w:r>
          </w:p>
          <w:p w14:paraId="4FE8AC99" w14:textId="77777777" w:rsidR="0079280D" w:rsidRPr="009502F5" w:rsidRDefault="0079280D" w:rsidP="0079280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C323E07" w14:textId="77777777" w:rsidR="00924B7C" w:rsidRPr="009502F5" w:rsidRDefault="00924B7C" w:rsidP="00B0651A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1E826138" w14:textId="77777777" w:rsidR="00F14ECA" w:rsidRPr="009502F5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AD8708C" w14:textId="77777777" w:rsidR="00B0651A" w:rsidRPr="009502F5" w:rsidRDefault="00B0651A" w:rsidP="00B0651A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Especialmente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 para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lecturas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críticas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:</w:t>
            </w:r>
          </w:p>
          <w:p w14:paraId="2C625E1D" w14:textId="77777777" w:rsidR="00B0651A" w:rsidRPr="009502F5" w:rsidRDefault="00B0651A" w:rsidP="00B0651A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4C13B4D" w14:textId="77777777" w:rsidR="00B0651A" w:rsidRPr="009502F5" w:rsidRDefault="00B0651A" w:rsidP="00B0651A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Wasserman, L. (2004). All of Statistics. A Concise Course in Statistical Inference. Nueva York: Springer Verlag. </w:t>
            </w:r>
          </w:p>
          <w:p w14:paraId="140CDEBA" w14:textId="77777777" w:rsidR="00B0651A" w:rsidRPr="009502F5" w:rsidRDefault="00B0651A" w:rsidP="00B0651A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9502F5">
              <w:rPr>
                <w:rFonts w:ascii="Trebuchet MS" w:hAnsi="Trebuchet MS" w:cs="Arial"/>
                <w:bCs/>
                <w:sz w:val="18"/>
              </w:rPr>
              <w:t>Casella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</w:rPr>
              <w:t xml:space="preserve">, G. y Berger, R. L. (1990). </w:t>
            </w:r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Statistical Inference. Belmont: Duxbury Press.</w:t>
            </w:r>
          </w:p>
          <w:p w14:paraId="4CC952AC" w14:textId="77777777" w:rsidR="00B0651A" w:rsidRPr="009502F5" w:rsidRDefault="00B0651A" w:rsidP="00B0651A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Barnett, V. (1999,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Tercera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Edición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 xml:space="preserve">). Comparative Statistical Inference. </w:t>
            </w:r>
            <w:proofErr w:type="spellStart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Chichester</w:t>
            </w:r>
            <w:proofErr w:type="spellEnd"/>
            <w:r w:rsidRPr="009502F5">
              <w:rPr>
                <w:rFonts w:ascii="Trebuchet MS" w:hAnsi="Trebuchet MS" w:cs="Arial"/>
                <w:bCs/>
                <w:sz w:val="18"/>
                <w:lang w:val="en-US"/>
              </w:rPr>
              <w:t>: John Wiley &amp; Sons.</w:t>
            </w:r>
          </w:p>
          <w:p w14:paraId="627566CD" w14:textId="77777777" w:rsidR="00B0651A" w:rsidRPr="009502F5" w:rsidRDefault="00B0651A" w:rsidP="00B0651A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CF5A9E7" w14:textId="77777777" w:rsidR="00B0651A" w:rsidRPr="009502F5" w:rsidRDefault="00B0651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783DE2F" w14:textId="77777777" w:rsidR="00477F1D" w:rsidRPr="009502F5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444FF71E" w14:textId="77777777" w:rsidR="00892FFD" w:rsidRPr="009502F5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4AC80F3E" w14:textId="77777777" w:rsidR="004A5672" w:rsidRPr="009502F5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9502F5">
        <w:rPr>
          <w:rFonts w:ascii="Trebuchet MS" w:hAnsi="Trebuchet MS" w:cs="Arial"/>
          <w:bCs/>
          <w:sz w:val="18"/>
        </w:rPr>
        <w:t>*</w:t>
      </w:r>
      <w:r w:rsidRPr="009502F5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9502F5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9502F5">
        <w:rPr>
          <w:rFonts w:ascii="Trebuchet MS" w:hAnsi="Trebuchet MS" w:cs="Arial"/>
          <w:bCs/>
          <w:sz w:val="18"/>
        </w:rPr>
        <w:t>mato APA</w:t>
      </w:r>
    </w:p>
    <w:p w14:paraId="77FD9317" w14:textId="77777777" w:rsidR="004A5672" w:rsidRPr="009502F5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600C3D4" w14:textId="77777777" w:rsidR="004A5672" w:rsidRPr="009502F5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9502F5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6EE4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4CF80397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57A33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64D9C27B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23C9AD05" w14:textId="77777777" w:rsidTr="00731BA4">
      <w:trPr>
        <w:trHeight w:val="828"/>
      </w:trPr>
      <w:tc>
        <w:tcPr>
          <w:tcW w:w="8620" w:type="dxa"/>
        </w:tcPr>
        <w:p w14:paraId="0279BB6F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13183C30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0AFF7069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5C2EF2"/>
    <w:multiLevelType w:val="hybridMultilevel"/>
    <w:tmpl w:val="1A14B04A"/>
    <w:lvl w:ilvl="0" w:tplc="9D903B40">
      <w:start w:val="1"/>
      <w:numFmt w:val="decimal"/>
      <w:lvlText w:val="%1."/>
      <w:lvlJc w:val="left"/>
      <w:pPr>
        <w:ind w:left="1080" w:hanging="360"/>
      </w:pPr>
      <w:rPr>
        <w:rFonts w:ascii="Trebuchet MS" w:eastAsia="Times New Roman" w:hAnsi="Trebuchet MS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C5036"/>
    <w:multiLevelType w:val="hybridMultilevel"/>
    <w:tmpl w:val="8722A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F04325C"/>
    <w:multiLevelType w:val="multilevel"/>
    <w:tmpl w:val="A9F22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C5AD2"/>
    <w:multiLevelType w:val="hybridMultilevel"/>
    <w:tmpl w:val="FD488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2"/>
  </w:num>
  <w:num w:numId="4">
    <w:abstractNumId w:val="7"/>
  </w:num>
  <w:num w:numId="5">
    <w:abstractNumId w:val="18"/>
  </w:num>
  <w:num w:numId="6">
    <w:abstractNumId w:val="29"/>
  </w:num>
  <w:num w:numId="7">
    <w:abstractNumId w:val="5"/>
  </w:num>
  <w:num w:numId="8">
    <w:abstractNumId w:val="23"/>
  </w:num>
  <w:num w:numId="9">
    <w:abstractNumId w:val="26"/>
  </w:num>
  <w:num w:numId="10">
    <w:abstractNumId w:val="34"/>
  </w:num>
  <w:num w:numId="11">
    <w:abstractNumId w:val="16"/>
  </w:num>
  <w:num w:numId="12">
    <w:abstractNumId w:val="19"/>
  </w:num>
  <w:num w:numId="13">
    <w:abstractNumId w:val="33"/>
  </w:num>
  <w:num w:numId="14">
    <w:abstractNumId w:val="3"/>
  </w:num>
  <w:num w:numId="15">
    <w:abstractNumId w:val="9"/>
  </w:num>
  <w:num w:numId="16">
    <w:abstractNumId w:val="20"/>
  </w:num>
  <w:num w:numId="17">
    <w:abstractNumId w:val="4"/>
  </w:num>
  <w:num w:numId="18">
    <w:abstractNumId w:val="31"/>
  </w:num>
  <w:num w:numId="19">
    <w:abstractNumId w:val="0"/>
  </w:num>
  <w:num w:numId="20">
    <w:abstractNumId w:val="35"/>
  </w:num>
  <w:num w:numId="21">
    <w:abstractNumId w:val="13"/>
  </w:num>
  <w:num w:numId="22">
    <w:abstractNumId w:val="2"/>
  </w:num>
  <w:num w:numId="23">
    <w:abstractNumId w:val="15"/>
  </w:num>
  <w:num w:numId="24">
    <w:abstractNumId w:val="21"/>
  </w:num>
  <w:num w:numId="25">
    <w:abstractNumId w:val="17"/>
  </w:num>
  <w:num w:numId="26">
    <w:abstractNumId w:val="28"/>
  </w:num>
  <w:num w:numId="27">
    <w:abstractNumId w:val="22"/>
  </w:num>
  <w:num w:numId="28">
    <w:abstractNumId w:val="25"/>
  </w:num>
  <w:num w:numId="29">
    <w:abstractNumId w:val="8"/>
  </w:num>
  <w:num w:numId="30">
    <w:abstractNumId w:val="1"/>
  </w:num>
  <w:num w:numId="31">
    <w:abstractNumId w:val="32"/>
  </w:num>
  <w:num w:numId="32">
    <w:abstractNumId w:val="11"/>
  </w:num>
  <w:num w:numId="33">
    <w:abstractNumId w:val="14"/>
  </w:num>
  <w:num w:numId="34">
    <w:abstractNumId w:val="36"/>
  </w:num>
  <w:num w:numId="35">
    <w:abstractNumId w:val="30"/>
  </w:num>
  <w:num w:numId="36">
    <w:abstractNumId w:val="2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73664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3FC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64D4F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280B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280D"/>
    <w:rsid w:val="007936FC"/>
    <w:rsid w:val="007A3D22"/>
    <w:rsid w:val="007B240E"/>
    <w:rsid w:val="007D7622"/>
    <w:rsid w:val="007E0B92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02F5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1301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0651A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B75A0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D584C"/>
    <w:rsid w:val="00EF0FE0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2944F0"/>
  <w15:docId w15:val="{CAC6C282-79DC-4721-AC0A-D38D94FD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A8C208-0F6C-4BC7-9677-C4B26D02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1783</Words>
  <Characters>10166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11926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13</cp:revision>
  <cp:lastPrinted>2012-09-13T18:30:00Z</cp:lastPrinted>
  <dcterms:created xsi:type="dcterms:W3CDTF">2016-10-25T22:49:00Z</dcterms:created>
  <dcterms:modified xsi:type="dcterms:W3CDTF">2017-02-14T02:20:00Z</dcterms:modified>
</cp:coreProperties>
</file>